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1739" w14:textId="67494065" w:rsidR="00EC774C" w:rsidRDefault="00EC774C" w:rsidP="00EC774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1.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Calibri" w:hAnsi="Calibri" w:cs="Calibri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Zimbabwe observational analysis of a switch to organophosphate</w:t>
      </w:r>
    </w:p>
    <w:p w14:paraId="247EC997" w14:textId="77777777" w:rsidR="00EC774C" w:rsidRDefault="00EC774C" w:rsidP="00EC774C">
      <w:pPr>
        <w:pStyle w:val="NormalWeb"/>
        <w:spacing w:before="0" w:beforeAutospacing="0" w:after="0" w:afterAutospacing="0"/>
      </w:pPr>
      <w:hyperlink r:id="rId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https://www.ncbi.nlm.nih.gov/pubmed/27018893</w:t>
        </w:r>
      </w:hyperlink>
    </w:p>
    <w:p w14:paraId="2F085E4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159B03" w14:textId="77777777" w:rsidR="00EC774C" w:rsidRDefault="00EC774C" w:rsidP="00EC774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PLoS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One. 2016 Mar 28;11(3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):e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0151971.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2AE8BE6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10.1371/journal.pone.0151971.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eCollection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2016.</w:t>
      </w:r>
    </w:p>
    <w:p w14:paraId="3DDD0FB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4B0D651" w14:textId="77777777" w:rsidR="00EC774C" w:rsidRDefault="00EC774C" w:rsidP="00EC774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Reduction in Malaria Incidence following Indoor Residual Spraying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Actellic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300 CS in</w:t>
      </w:r>
    </w:p>
    <w:p w14:paraId="6F1ABE69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 Setting with Pyrethroid Resistance: Mutasa District, Zimbabwe.</w:t>
      </w:r>
    </w:p>
    <w:p w14:paraId="7007ABF1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5C28AB" w14:textId="77777777" w:rsidR="00EC774C" w:rsidRDefault="00EC774C" w:rsidP="00EC774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Kanyangarara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Mamini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Mharakurwa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Munyati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Gwanzura L, Kobayashi T, Shields 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Mullany</w:t>
      </w:r>
      <w:proofErr w:type="spellEnd"/>
    </w:p>
    <w:p w14:paraId="77912C84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LC,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Mutambu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Mason PR,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Curriero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FC, Moss WJ</w:t>
      </w:r>
    </w:p>
    <w:p w14:paraId="3E5EB113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5B17638" w14:textId="1538C809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411082E" w14:textId="33A83532" w:rsidR="00EC774C" w:rsidRDefault="00EC774C" w:rsidP="00EC774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  </w:t>
      </w:r>
      <w:r>
        <w:rPr>
          <w:rFonts w:ascii="Calibri" w:hAnsi="Calibri" w:cs="Calibri"/>
          <w:color w:val="000000"/>
          <w:sz w:val="22"/>
          <w:szCs w:val="22"/>
        </w:rPr>
        <w:t>Ghana Northern parasite prevalence during switch to organophosphate</w:t>
      </w:r>
    </w:p>
    <w:p w14:paraId="1C738B47" w14:textId="77777777" w:rsidR="00EC774C" w:rsidRDefault="00EC774C" w:rsidP="00EC774C">
      <w:pPr>
        <w:pStyle w:val="NormalWeb"/>
        <w:spacing w:before="0" w:beforeAutospacing="0" w:after="0" w:afterAutospacing="0"/>
      </w:pPr>
      <w:hyperlink r:id="rId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https://www.ncbi.nlm.nih.gov/pubmed/30352613</w:t>
        </w:r>
      </w:hyperlink>
    </w:p>
    <w:p w14:paraId="17B2EFF9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ACDA61" w14:textId="77777777" w:rsidR="00EC774C" w:rsidRDefault="00EC774C" w:rsidP="00EC774C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Parasit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Vectors. 2018 Oct 23;11(1):555.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10.1186/s13071-018-3130-z.</w:t>
      </w:r>
    </w:p>
    <w:p w14:paraId="70429A8B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62FC87F" w14:textId="77777777" w:rsidR="00EC774C" w:rsidRDefault="00EC774C" w:rsidP="00EC774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Impact of indoor residual spraying on malaria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parasitaemia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Bunkpurugu-Yunyoo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District in northern Ghana.</w:t>
      </w:r>
    </w:p>
    <w:p w14:paraId="322B8FAC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Abuaku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Ahorlu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Psychas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P, Ricks P, Oppong S, Mensah S, Sackey W,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Koram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KA</w:t>
      </w:r>
    </w:p>
    <w:p w14:paraId="4C3383A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F4EE3D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0880CE5" w14:textId="40F57E8D" w:rsidR="00EC774C" w:rsidRDefault="00EC774C" w:rsidP="00EC774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Calibri" w:hAnsi="Calibri" w:cs="Calibri"/>
          <w:color w:val="000000"/>
          <w:sz w:val="22"/>
          <w:szCs w:val="22"/>
        </w:rPr>
        <w:t>Ghana entomological impact of organophosphate</w:t>
      </w:r>
      <w:hyperlink r:id="rId9" w:history="1">
        <w:r>
          <w:rPr>
            <w:rStyle w:val="Hyperlink"/>
            <w:rFonts w:ascii="Calibri" w:hAnsi="Calibri" w:cs="Calibri"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https://www.ncbi.nlm.nih.gov/pubmed/28797269</w:t>
        </w:r>
      </w:hyperlink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3E6379D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946265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Malar J. 2017 Aug 10;16(1):324.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10.1186/s12936-017-1971-0.</w:t>
      </w:r>
    </w:p>
    <w:p w14:paraId="6339AD6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 reduction in malaria transmission intensity in Northern Ghana after 7 years of indoor residual spraying.</w:t>
      </w:r>
    </w:p>
    <w:p w14:paraId="36BDFB12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55B349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Coleman 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Dadzie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SK,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Seyoum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Yihdego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Y, Mumba P,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Dengela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D, Ricks P, George K, Fornadel C,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Szumlas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Psychas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P, Williams J,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Appawu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MA, Boakye DA.</w:t>
      </w:r>
    </w:p>
    <w:p w14:paraId="3FCBD7E1" w14:textId="003860BA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DE3609E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0A259CD9" w14:textId="42301754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Calibri" w:hAnsi="Calibri" w:cs="Calibri"/>
          <w:color w:val="000000"/>
          <w:sz w:val="22"/>
          <w:szCs w:val="22"/>
        </w:rPr>
        <w:t>Ghana Northern, Upper West and Upper East impact of 3GIRS (reintroduction)</w:t>
      </w:r>
    </w:p>
    <w:p w14:paraId="5FFED698" w14:textId="77777777" w:rsidR="00EC774C" w:rsidRDefault="00EC774C" w:rsidP="00EC774C">
      <w:pPr>
        <w:pStyle w:val="NormalWeb"/>
        <w:spacing w:before="0" w:beforeAutospacing="0" w:after="0" w:afterAutospacing="0"/>
      </w:pPr>
      <w:hyperlink r:id="rId10" w:anchor="!/4692/presentation/18984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https://www.abstractsonline.com/pp8/#!/4692/presentation/18984</w:t>
        </w:r>
      </w:hyperlink>
      <w:r>
        <w:rPr>
          <w:rFonts w:ascii="Calibri" w:hAnsi="Calibri" w:cs="Calibri"/>
          <w:color w:val="000000"/>
          <w:sz w:val="22"/>
          <w:szCs w:val="22"/>
        </w:rPr>
        <w:t>)</w:t>
      </w:r>
    </w:p>
    <w:p w14:paraId="4E7B740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11F6FE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Annual meeting of the American Society of Tropical Medicine and Hygiene: 2018</w:t>
      </w:r>
    </w:p>
    <w:p w14:paraId="5E151409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9AE87BE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Observational analysis of the impact of the reintroduction of IRS in districts of the Northern and Upper East regions of Ghana in 2017</w:t>
      </w:r>
    </w:p>
    <w:p w14:paraId="679A6222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B3919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Christelle Gogue, Joseph Wagman, Kenzie Tynuv, Andrew Saibu, Keziah Malm,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Wahjib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Mohamed, Samuel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Asiedu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Anthony Ofosu, Welbeck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Akplu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Kwame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Bimpeh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Jason Richardson, Molly Robertson</w:t>
      </w:r>
    </w:p>
    <w:p w14:paraId="0BE4FC2A" w14:textId="66FE44D8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3A40A8F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6AAA9479" w14:textId="5DBA9C73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Calibri" w:hAnsi="Calibri" w:cs="Calibri"/>
          <w:color w:val="000000"/>
          <w:sz w:val="22"/>
          <w:szCs w:val="22"/>
        </w:rPr>
        <w:t>Uganda Pilgrim Africa MDA in the context of IRS</w:t>
      </w:r>
    </w:p>
    <w:p w14:paraId="2D0ECF28" w14:textId="77777777" w:rsidR="00EC774C" w:rsidRDefault="00EC774C" w:rsidP="00EC774C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https://www.ncbi.nlm.nih.gov/pubmed/30558632</w:t>
        </w:r>
      </w:hyperlink>
    </w:p>
    <w:p w14:paraId="2C2E0C45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Malar J. 2018 Dec 17;17(1):474.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10.1186/s12936-018-2624-7.</w:t>
      </w:r>
    </w:p>
    <w:p w14:paraId="7D998BA1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68E942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Community facilitators and barriers to a successful implementation of mass drug administration and indoor residual spraying for malaria prevention in Uganda: a qualitative study.</w:t>
      </w:r>
    </w:p>
    <w:p w14:paraId="26D66EF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B6BC88F" w14:textId="0735F82E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Wanzira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Naiga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Mulebeke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Bukenya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Nabukenya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Omoding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Echodu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A.</w:t>
      </w:r>
    </w:p>
    <w:p w14:paraId="3C7EA33A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40F9CCB9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A2FA694" w14:textId="30A0B0E0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Calibri" w:hAnsi="Calibri" w:cs="Calibri"/>
          <w:color w:val="000000"/>
          <w:sz w:val="22"/>
          <w:szCs w:val="22"/>
        </w:rPr>
        <w:t xml:space="preserve">Uganda observational impact of IRS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Actellic</w:t>
      </w:r>
      <w:proofErr w:type="spellEnd"/>
    </w:p>
    <w:p w14:paraId="21165FA6" w14:textId="77777777" w:rsidR="00EC774C" w:rsidRDefault="00EC774C" w:rsidP="00EC774C">
      <w:pPr>
        <w:pStyle w:val="NormalWeb"/>
        <w:spacing w:before="0" w:beforeAutospacing="0" w:after="0" w:afterAutospacing="0"/>
      </w:pPr>
      <w:hyperlink r:id="rId12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https://www.ncbi.nlm.nih.gov/pubmed/30791906</w:t>
        </w:r>
      </w:hyperlink>
    </w:p>
    <w:p w14:paraId="72601BA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C119FEB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Malar J. 2019 Feb 21;18(1):44.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10.1186/s12936-019-2681-6.</w:t>
      </w:r>
    </w:p>
    <w:p w14:paraId="7B30FADF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1152AA2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Effects and factors associated with indoor residual spraying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Actellic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300 CS on malaria morbidity in Lira District, Northern Uganda.</w:t>
      </w:r>
    </w:p>
    <w:p w14:paraId="441158CD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888830B" w14:textId="6148A97B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Tugume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Muneza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Oporia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Kiconco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Kihembo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Kisakye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AN, Nsubuga P,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Deogratias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Yeka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A.</w:t>
      </w:r>
    </w:p>
    <w:p w14:paraId="3B9AC37A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58181D4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028164B" w14:textId="7F8F1768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Calibri" w:hAnsi="Calibri" w:cs="Calibri"/>
          <w:color w:val="000000"/>
          <w:sz w:val="22"/>
          <w:szCs w:val="22"/>
        </w:rPr>
        <w:t xml:space="preserve">Mali observational of removal and addition of IRS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Actellic</w:t>
      </w:r>
      <w:proofErr w:type="spellEnd"/>
    </w:p>
    <w:p w14:paraId="0CEC0B7F" w14:textId="77777777" w:rsidR="00EC774C" w:rsidRDefault="00EC774C" w:rsidP="00EC774C">
      <w:pPr>
        <w:pStyle w:val="NormalWeb"/>
        <w:spacing w:before="0" w:beforeAutospacing="0" w:after="0" w:afterAutospacing="0"/>
      </w:pPr>
      <w:hyperlink r:id="rId13" w:anchor="!/4692/presentation/1897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https://www.abstractsonline.com/pp8/#!/4692/presentation/18979</w:t>
        </w:r>
      </w:hyperlink>
    </w:p>
    <w:p w14:paraId="5681CF3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F76724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Annual meeting of the American Society of Tropical Medicine and Hygiene: 2018</w:t>
      </w:r>
    </w:p>
    <w:p w14:paraId="4A3CBB13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6E1B06E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Rapid reduction of malaria transmission after introducing a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third generation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indoor residual spraying product in previously unsprayed districts of Mopti Region, Mali in 2017</w:t>
      </w:r>
    </w:p>
    <w:p w14:paraId="6B3A2E5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10E3A0" w14:textId="3B49F976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Joseph Wagman, Christelle Gogue, Kenzie Tynuv, Jules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Mihigo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Seydou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Fomba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Elie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Bankineza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Mamadou Bah,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Diadier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Diallo, Andrew Saibu, Jason Richardson, Laurence Slutsker, Molly Robertson</w:t>
      </w:r>
    </w:p>
    <w:p w14:paraId="1FF3EB0D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4CF93C21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0849103" w14:textId="26DE871B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8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      </w:t>
      </w:r>
      <w:r>
        <w:rPr>
          <w:rFonts w:ascii="Calibri" w:hAnsi="Calibri" w:cs="Calibri"/>
          <w:color w:val="000000"/>
          <w:sz w:val="22"/>
          <w:szCs w:val="22"/>
        </w:rPr>
        <w:t xml:space="preserve">Mali observational SMC and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Actellic</w:t>
      </w:r>
      <w:proofErr w:type="spellEnd"/>
    </w:p>
    <w:p w14:paraId="48BBDD75" w14:textId="77777777" w:rsidR="00EC774C" w:rsidRDefault="00EC774C" w:rsidP="00EC774C">
      <w:pPr>
        <w:pStyle w:val="NormalWeb"/>
        <w:spacing w:before="0" w:beforeAutospacing="0" w:after="0" w:afterAutospacing="0"/>
      </w:pPr>
      <w:hyperlink r:id="rId14" w:anchor="!/4395/presentation/422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https://www.abstractsonline.com/pp8/#!/4395/presentation/4229</w:t>
        </w:r>
      </w:hyperlink>
    </w:p>
    <w:p w14:paraId="6A2BA24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6FD504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Annual meeting of the American Society of Tropical Medicine and Hygiene: 2018</w:t>
      </w:r>
    </w:p>
    <w:p w14:paraId="5EFE0032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5A6BC9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Observational Evidence of a Complimentary Effect of Combining Next Generation Indoor Residual Spraying and Seasonal Malaria Chemoprevention in the Ségou Region of Mali, 2014</w:t>
      </w:r>
    </w:p>
    <w:p w14:paraId="14E5CDE5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F1895CB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Joseph Wagman, Christelle Gogue, Kenzie Tynuv, Jules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Mihigo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Diadier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Diallo, Elie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Bankineza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Mamadou Bah, Andrew Saibu, Jason Richardson,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Diakalia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Kone,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Seydou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Fomba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Laurence Slutske1, Molly Robertson</w:t>
      </w:r>
    </w:p>
    <w:p w14:paraId="52FCA7EE" w14:textId="6B8D1AA0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  <w:r>
        <w:rPr>
          <w:rFonts w:ascii="Calibri" w:hAnsi="Calibri" w:cs="Calibri"/>
          <w:color w:val="000000"/>
          <w:sz w:val="22"/>
          <w:szCs w:val="22"/>
        </w:rPr>
        <w:t>9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 xml:space="preserve"> Mali entomological analysis 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Actellic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spray</w:t>
      </w:r>
    </w:p>
    <w:p w14:paraId="41C3294E" w14:textId="77777777" w:rsidR="00EC774C" w:rsidRDefault="00EC774C" w:rsidP="00EC774C">
      <w:pPr>
        <w:pStyle w:val="NormalWeb"/>
        <w:spacing w:before="0" w:beforeAutospacing="0" w:after="0" w:afterAutospacing="0"/>
      </w:pPr>
      <w:hyperlink r:id="rId15" w:anchor="!/4692/presentation/17765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https://www.abstractsonline.com/pp8/#!/4692/presentation/17765</w:t>
        </w:r>
      </w:hyperlink>
    </w:p>
    <w:p w14:paraId="771478FD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7727213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Annual meeting of the American Society of Tropical Medicine and Hygiene: 2018</w:t>
      </w:r>
    </w:p>
    <w:p w14:paraId="2C8F3FF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Replacement of Indoor Residual Spraying ''IRS'' by Long Lasting Insecticidal Nets ''LLINs'' and Seasonal Malaria Chemoprevention ''SMC'' Associated with Changes of Key Entomological Indicators of Malaria Transmission in Southern Mali</w:t>
      </w:r>
    </w:p>
    <w:p w14:paraId="0E9579E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772CCAB" w14:textId="1F436237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Arthur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Sovi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Chitan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Keita, Youssouf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Sinaba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Abdourhamane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Dicko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Dereje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Dengela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Elie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Bankineza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Jules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Mihigo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Kristen George, Christen Fornadel, Laura Norris, Richard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Oxborough</w:t>
      </w:r>
      <w:proofErr w:type="spellEnd"/>
    </w:p>
    <w:p w14:paraId="771B95A5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2A227A9D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7C69F3F" w14:textId="7385D156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Mali impact of IRS</w:t>
      </w:r>
    </w:p>
    <w:p w14:paraId="69D7EEEE" w14:textId="77777777" w:rsidR="00EC774C" w:rsidRDefault="00EC774C" w:rsidP="00EC774C">
      <w:pPr>
        <w:pStyle w:val="NormalWeb"/>
        <w:spacing w:before="0" w:beforeAutospacing="0" w:after="0" w:afterAutospacing="0"/>
      </w:pPr>
      <w:hyperlink r:id="rId16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https://www.ncbi.nlm.nih.gov/pubmed/29316917</w:t>
        </w:r>
      </w:hyperlink>
    </w:p>
    <w:p w14:paraId="1BF5FF6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753A4D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Malar J. 2018 Jan 10;17(1):19.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10.1186/s12936-017-2168-2.</w:t>
      </w:r>
    </w:p>
    <w:p w14:paraId="6EE80CE5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74394E4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 observational analysis of the impact of indoor residual spraying with non-pyrethroid insecticides on the incidence of malaria in Ségou Region, Mali: 2012-2015.</w:t>
      </w:r>
    </w:p>
    <w:p w14:paraId="56B3D7A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C64FFED" w14:textId="7848C796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Wagman J, Gogue C, Tynuv K,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Mihigo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Bankineza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E, Bah M, Diallo D, Saibu A, Richardson JH, Kone D,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Fomba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Bernson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Steketee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R, Slutsker L, Robertson M.</w:t>
      </w:r>
    </w:p>
    <w:p w14:paraId="1B1DAE05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2ABF17BD" w14:textId="103168DE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FFE6E9F" w14:textId="3A47AF25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Ethiopia CRT of vector control in low transmission</w:t>
      </w:r>
    </w:p>
    <w:p w14:paraId="5EE6B61B" w14:textId="77777777" w:rsidR="00EC774C" w:rsidRDefault="00EC774C" w:rsidP="00EC774C">
      <w:pPr>
        <w:pStyle w:val="NormalWeb"/>
        <w:spacing w:before="0" w:beforeAutospacing="0" w:after="0" w:afterAutospacing="0"/>
      </w:pPr>
      <w:hyperlink r:id="rId1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https://www.ncbi.nlm.nih.gov/pubmed/30999957</w:t>
        </w:r>
      </w:hyperlink>
    </w:p>
    <w:p w14:paraId="53E51CD3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78F9D8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Malar J. 2019 Apr 18;18(1):141.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10.1186/s12936-019-2775-1.</w:t>
      </w:r>
    </w:p>
    <w:p w14:paraId="7B9AF37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27B41F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Long-lasting insecticidal nets and indoor residual spraying may not be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sufficient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to eliminate malaria in a low malaria incidence area: results from a cluster randomized controlled trial in Ethiopia.</w:t>
      </w:r>
    </w:p>
    <w:p w14:paraId="4D9EBF34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E1A0E40" w14:textId="5CA9B847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Loha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Deressa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Gari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Balkew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Kenea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O, Solomon T, Hailu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Robberstad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Assegid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M, Overgaard HJ,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Lindtjørn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B.</w:t>
      </w:r>
    </w:p>
    <w:p w14:paraId="760F5A0D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58DF227B" w14:textId="0F62FFD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033AB855" w14:textId="68711428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 xml:space="preserve"> Senegal entomological impact of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Actellic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in low transmission</w:t>
      </w:r>
    </w:p>
    <w:p w14:paraId="7EBE3AB7" w14:textId="77777777" w:rsidR="00EC774C" w:rsidRDefault="00EC774C" w:rsidP="00EC774C">
      <w:pPr>
        <w:pStyle w:val="NormalWeb"/>
        <w:spacing w:before="0" w:beforeAutospacing="0" w:after="0" w:afterAutospacing="0"/>
      </w:pPr>
      <w:hyperlink r:id="rId1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https://www.ncbi.nlm.nih.gov/pubmed/29402274</w:t>
        </w:r>
      </w:hyperlink>
    </w:p>
    <w:p w14:paraId="62DF7445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7C5A4D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Malar J. 2018 Feb 5;17(1):64.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10.1186/s12936-018-2212-x.</w:t>
      </w:r>
    </w:p>
    <w:p w14:paraId="0AA110A5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008472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Entomological impact of indoor residual spraying with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pirimiphos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-methyl: a pilot study in an area of low malaria transmission in Senegal.</w:t>
      </w:r>
    </w:p>
    <w:p w14:paraId="389EB2BB" w14:textId="45FE91E5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Sy O,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Niang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EHA, Ndiaye M,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Konaté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L, Diallo A, Ba ECC,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Tairou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F, Diouf 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Cissé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B, Gaye O, Faye O.</w:t>
      </w:r>
    </w:p>
    <w:p w14:paraId="522FCAB1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3B3B8AAC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643C10C" w14:textId="2A6A0251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Tanzania CRT with modeling of incidence and 2nd year IRS</w:t>
      </w:r>
    </w:p>
    <w:p w14:paraId="2051DE06" w14:textId="77777777" w:rsidR="00EC774C" w:rsidRDefault="00EC774C" w:rsidP="00EC774C">
      <w:pPr>
        <w:pStyle w:val="NormalWeb"/>
        <w:spacing w:before="0" w:beforeAutospacing="0" w:after="0" w:afterAutospacing="0"/>
      </w:pPr>
      <w:hyperlink r:id="rId19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https://www.ncbi.nlm.nih.gov/pubmed/29655496</w:t>
        </w:r>
      </w:hyperlink>
    </w:p>
    <w:p w14:paraId="7FBF5EF9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</w:t>
      </w:r>
    </w:p>
    <w:p w14:paraId="6BAB6BA4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Lancet. 2018 Apr 21;391(10130):1577-1588.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: 10.1016/S0140-6736(18)30427-6.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Epub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2018 Apr 11.</w:t>
      </w:r>
    </w:p>
    <w:p w14:paraId="2A4D7614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8B7AEB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Effectiveness of a long-lasting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piperonyl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butoxide-treated insecticidal net and indoor residual spray interventions, separately and together, against malaria transmitted by pyrethroid-resistant mosquitoes: a cluster,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randomised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controlled, two-by-two factorial design trial.</w:t>
      </w:r>
    </w:p>
    <w:p w14:paraId="39B666F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98EC7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Protopopoff 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JF,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Lukole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E, Charlwood JD, Wright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Mwalimu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CD,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Manjurano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Mosha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FW,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Kisinza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W, Kleinschmidt I, Rowland M.</w:t>
      </w:r>
    </w:p>
    <w:p w14:paraId="76B49028" w14:textId="0E7FD39A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8E5729E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080B4333" w14:textId="3507590D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Modeling of vector control interventions</w:t>
      </w:r>
    </w:p>
    <w:p w14:paraId="331DA7F6" w14:textId="77777777" w:rsidR="00EC774C" w:rsidRDefault="00EC774C" w:rsidP="00EC774C">
      <w:pPr>
        <w:pStyle w:val="NormalWeb"/>
        <w:spacing w:before="0" w:beforeAutospacing="0" w:after="0" w:afterAutospacing="0"/>
      </w:pPr>
      <w:hyperlink r:id="rId20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https://www.ncbi.nlm.nih.gov/pubmed/30478327</w:t>
        </w:r>
      </w:hyperlink>
    </w:p>
    <w:p w14:paraId="13C15732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B3ACFEF" w14:textId="77777777" w:rsidR="00EC774C" w:rsidRDefault="00EC774C" w:rsidP="00EC774C">
      <w:pPr>
        <w:pStyle w:val="NormalWeb"/>
        <w:spacing w:before="0" w:beforeAutospacing="0" w:after="0" w:afterAutospacing="0"/>
      </w:pPr>
      <w:hyperlink r:id="rId21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 xml:space="preserve">Nat </w:t>
        </w:r>
        <w:proofErr w:type="spellStart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Commun</w:t>
        </w:r>
        <w:proofErr w:type="spellEnd"/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.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2018 Nov 26;9(1):4982.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doi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10.1038/s41467-018-07357-w.</w:t>
      </w:r>
    </w:p>
    <w:p w14:paraId="1A47FB90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Systematic review of indoor residual spray efficacy and effectiveness against Plasmodium falciparum in Africa.</w:t>
      </w:r>
    </w:p>
    <w:p w14:paraId="568A80FA" w14:textId="756AEFA9" w:rsidR="00EC774C" w:rsidRDefault="00EC774C" w:rsidP="00EC774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Sherrard-Smith E, Griffin JT, Winskill P, Corbel V,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Pennetier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Djénontin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A, Moore S, Richardson JH, Müller P, Edi C, Protopopoff N,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Oxborough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Agossa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N'Guessan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R, Rowland M, Churcher TS.</w:t>
      </w:r>
    </w:p>
    <w:p w14:paraId="2279258D" w14:textId="77777777" w:rsidR="00EC774C" w:rsidRDefault="00EC774C" w:rsidP="00EC774C">
      <w:pPr>
        <w:pStyle w:val="NormalWeb"/>
        <w:spacing w:before="0" w:beforeAutospacing="0" w:after="0" w:afterAutospacing="0"/>
      </w:pPr>
    </w:p>
    <w:p w14:paraId="1A82E378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A5D349B" w14:textId="19C2E568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1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color w:val="000000"/>
          <w:sz w:val="14"/>
          <w:szCs w:val="14"/>
        </w:rPr>
        <w:t xml:space="preserve">   </w:t>
      </w:r>
      <w:r>
        <w:rPr>
          <w:rFonts w:ascii="Calibri" w:hAnsi="Calibri" w:cs="Calibri"/>
          <w:color w:val="000000"/>
          <w:sz w:val="22"/>
          <w:szCs w:val="22"/>
        </w:rPr>
        <w:t> Mozambique</w:t>
      </w:r>
    </w:p>
    <w:p w14:paraId="54B7F91F" w14:textId="77777777" w:rsidR="00EC774C" w:rsidRDefault="00EC774C" w:rsidP="00EC774C">
      <w:pPr>
        <w:pStyle w:val="NormalWeb"/>
        <w:spacing w:before="0" w:beforeAutospacing="0" w:after="0" w:afterAutospacing="0"/>
      </w:pPr>
      <w:hyperlink r:id="rId22" w:anchor="!/4692/presentation/20037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https://www.abstractsonline.com/pp8/#!/4692/presentation/20037</w:t>
        </w:r>
      </w:hyperlink>
    </w:p>
    <w:p w14:paraId="30DCF9CC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867D14A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Annual meeting of the American Society of Tropical Medicine and Hygiene: 2018</w:t>
      </w:r>
    </w:p>
    <w:p w14:paraId="31D4D6FB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D481F85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 cluster randomized trial to measure the impact of indoor residual spraying with a third-generation indoor residual spray (3GIRS) product in combination with long-lasting insecticide-treated nets in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Zambezia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Mozambique</w:t>
      </w:r>
    </w:p>
    <w:p w14:paraId="62EDFDF7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F34E5F6" w14:textId="77777777" w:rsidR="00EC774C" w:rsidRDefault="00EC774C" w:rsidP="00EC774C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Carlos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Chaccour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Christelle Gogue, Joseph Wagman, Kenzie Tynuv,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Sergi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Alonso, Rose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Zulliger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Amilcar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Nacima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Eldo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Elobolobo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Binete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Savaio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Abuchahama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Saifodine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Baltazar Candrinho,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Kenyssony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Verela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Jason Richardson, Molly Robertson, Francisco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Saute</w:t>
      </w:r>
      <w:proofErr w:type="spellEnd"/>
    </w:p>
    <w:p w14:paraId="0B670A87" w14:textId="77777777" w:rsidR="00AC324C" w:rsidRDefault="00EC774C"/>
    <w:sectPr w:rsidR="00AC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4C"/>
    <w:rsid w:val="00013F25"/>
    <w:rsid w:val="00363DC6"/>
    <w:rsid w:val="00A11833"/>
    <w:rsid w:val="00E2369D"/>
    <w:rsid w:val="00E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0782"/>
  <w15:chartTrackingRefBased/>
  <w15:docId w15:val="{136F32CE-B3D7-4D0B-98FB-06A88C53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30352613" TargetMode="External"/><Relationship Id="rId13" Type="http://schemas.openxmlformats.org/officeDocument/2006/relationships/hyperlink" Target="https://www.abstractsonline.com/pp8/" TargetMode="External"/><Relationship Id="rId18" Type="http://schemas.openxmlformats.org/officeDocument/2006/relationships/hyperlink" Target="https://www.ncbi.nlm.nih.gov/pubmed/2940227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cbi.nlm.nih.gov/pubmed/30478327" TargetMode="External"/><Relationship Id="rId7" Type="http://schemas.openxmlformats.org/officeDocument/2006/relationships/hyperlink" Target="https://www.ncbi.nlm.nih.gov/pubmed/27018893" TargetMode="External"/><Relationship Id="rId12" Type="http://schemas.openxmlformats.org/officeDocument/2006/relationships/hyperlink" Target="https://www.ncbi.nlm.nih.gov/pubmed/30791906" TargetMode="External"/><Relationship Id="rId17" Type="http://schemas.openxmlformats.org/officeDocument/2006/relationships/hyperlink" Target="https://www.ncbi.nlm.nih.gov/pubmed/3099995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29316917" TargetMode="External"/><Relationship Id="rId20" Type="http://schemas.openxmlformats.org/officeDocument/2006/relationships/hyperlink" Target="https://www.ncbi.nlm.nih.gov/pubmed/304783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3055863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bstractsonline.com/pp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bstractsonline.com/pp8/" TargetMode="External"/><Relationship Id="rId19" Type="http://schemas.openxmlformats.org/officeDocument/2006/relationships/hyperlink" Target="https://www.ncbi.nlm.nih.gov/pubmed/29655496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cbi.nlm.nih.gov/pubmed/28797269" TargetMode="External"/><Relationship Id="rId14" Type="http://schemas.openxmlformats.org/officeDocument/2006/relationships/hyperlink" Target="https://www.abstractsonline.com/pp8/" TargetMode="External"/><Relationship Id="rId22" Type="http://schemas.openxmlformats.org/officeDocument/2006/relationships/hyperlink" Target="https://www.abstractsonline.com/pp8/" TargetMode="External"/></Relationships>
</file>

<file path=word/theme/theme1.xml><?xml version="1.0" encoding="utf-8"?>
<a:theme xmlns:a="http://schemas.openxmlformats.org/drawingml/2006/main" name="Theme1">
  <a:themeElements>
    <a:clrScheme name="PATH 2019 Office Colors">
      <a:dk1>
        <a:sysClr val="windowText" lastClr="000000"/>
      </a:dk1>
      <a:lt1>
        <a:sysClr val="window" lastClr="FFFFFF"/>
      </a:lt1>
      <a:dk2>
        <a:srgbClr val="464F61"/>
      </a:dk2>
      <a:lt2>
        <a:srgbClr val="E8EAEB"/>
      </a:lt2>
      <a:accent1>
        <a:srgbClr val="F65050"/>
      </a:accent1>
      <a:accent2>
        <a:srgbClr val="A8001E"/>
      </a:accent2>
      <a:accent3>
        <a:srgbClr val="008C9B"/>
      </a:accent3>
      <a:accent4>
        <a:srgbClr val="5050CD"/>
      </a:accent4>
      <a:accent5>
        <a:srgbClr val="1EAF5F"/>
      </a:accent5>
      <a:accent6>
        <a:srgbClr val="F4EDE7"/>
      </a:accent6>
      <a:hlink>
        <a:srgbClr val="F65050"/>
      </a:hlink>
      <a:folHlink>
        <a:srgbClr val="F65050"/>
      </a:folHlink>
    </a:clrScheme>
    <a:fontScheme name="PATH201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454E60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defRPr sz="1600" dirty="0" err="1" smtClean="0">
            <a:solidFill>
              <a:srgbClr val="454E60"/>
            </a:solidFill>
            <a:latin typeface="Helvetica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heme1" id="{D77451BD-9EAC-4EBE-B9B5-AA523A5D9DD0}" vid="{F2FA1319-975F-4FCD-9D3F-E3C40B5F6E5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03AB0687C5D45A78B279DB888D9BE" ma:contentTypeVersion="10" ma:contentTypeDescription="Create a new document." ma:contentTypeScope="" ma:versionID="2bbcc87d62bba4d821236e164eb6f6b7">
  <xsd:schema xmlns:xsd="http://www.w3.org/2001/XMLSchema" xmlns:xs="http://www.w3.org/2001/XMLSchema" xmlns:p="http://schemas.microsoft.com/office/2006/metadata/properties" xmlns:ns2="2613b63a-7cac-42df-b60b-061cef864526" xmlns:ns3="6e4a893f-4127-4545-bf76-cf766910769b" targetNamespace="http://schemas.microsoft.com/office/2006/metadata/properties" ma:root="true" ma:fieldsID="8988fde2d2cce471e1e78a6b850e8a08" ns2:_="" ns3:_="">
    <xsd:import namespace="2613b63a-7cac-42df-b60b-061cef864526"/>
    <xsd:import namespace="6e4a893f-4127-4545-bf76-cf766910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b63a-7cac-42df-b60b-061cef86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a893f-4127-4545-bf76-cf766910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99E5D-B649-4816-9942-AFCFCE0EA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3b63a-7cac-42df-b60b-061cef864526"/>
    <ds:schemaRef ds:uri="6e4a893f-4127-4545-bf76-cf766910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5987A-421B-4EF6-91F0-9091ED09B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F66BE-40C7-49D6-A576-48EB1089F862}">
  <ds:schemaRefs>
    <ds:schemaRef ds:uri="http://purl.org/dc/elements/1.1/"/>
    <ds:schemaRef ds:uri="http://schemas.openxmlformats.org/package/2006/metadata/core-properties"/>
    <ds:schemaRef ds:uri="http://www.w3.org/XML/1998/namespace"/>
    <ds:schemaRef ds:uri="6e4a893f-4127-4545-bf76-cf766910769b"/>
    <ds:schemaRef ds:uri="2613b63a-7cac-42df-b60b-061cef86452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Arnett, Kyra</dc:creator>
  <cp:keywords/>
  <dc:description/>
  <cp:lastModifiedBy>Arnett, Kyra</cp:lastModifiedBy>
  <cp:revision>1</cp:revision>
  <dcterms:created xsi:type="dcterms:W3CDTF">2019-07-31T16:47:00Z</dcterms:created>
  <dcterms:modified xsi:type="dcterms:W3CDTF">2019-07-31T16:53:00Z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0x010100E9403AB0687C5D45A78B279DB888D9BE</vt:lpwstr>
  </property>
</Properties>
</file>