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64CB" w14:textId="7BF55DE7" w:rsidR="007A2D84" w:rsidRPr="00BB4920" w:rsidRDefault="00F1001F" w:rsidP="00D91DDA">
      <w:pPr>
        <w:pStyle w:val="citation"/>
        <w:framePr w:wrap="notBeside"/>
        <w:rPr>
          <w:snapToGrid/>
        </w:rPr>
        <w:sectPr w:rsidR="007A2D84" w:rsidRPr="00BB4920" w:rsidSect="00415A82">
          <w:headerReference w:type="default" r:id="rId11"/>
          <w:footerReference w:type="even" r:id="rId12"/>
          <w:footerReference w:type="default" r:id="rId13"/>
          <w:type w:val="oddPage"/>
          <w:pgSz w:w="12240" w:h="15840" w:code="1"/>
          <w:pgMar w:top="1728" w:right="1440" w:bottom="1296" w:left="1440" w:header="720" w:footer="720" w:gutter="0"/>
          <w:pgBorders w:offsetFrom="page">
            <w:bottom w:val="single" w:sz="2" w:space="24" w:color="002A6C"/>
          </w:pgBorders>
          <w:cols w:space="360"/>
        </w:sectPr>
      </w:pPr>
      <w:r>
        <w:rPr>
          <w:noProof/>
          <w:snapToGrid/>
        </w:rPr>
        <w:drawing>
          <wp:anchor distT="0" distB="0" distL="114300" distR="114300" simplePos="0" relativeHeight="251660288" behindDoc="0" locked="0" layoutInCell="1" allowOverlap="1" wp14:anchorId="2398D9C9" wp14:editId="70BD6C79">
            <wp:simplePos x="0" y="0"/>
            <wp:positionH relativeFrom="margin">
              <wp:posOffset>-777240</wp:posOffset>
            </wp:positionH>
            <wp:positionV relativeFrom="margin">
              <wp:posOffset>-218440</wp:posOffset>
            </wp:positionV>
            <wp:extent cx="6865620" cy="2255511"/>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logos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65620" cy="2255511"/>
                    </a:xfrm>
                    <a:prstGeom prst="rect">
                      <a:avLst/>
                    </a:prstGeom>
                  </pic:spPr>
                </pic:pic>
              </a:graphicData>
            </a:graphic>
            <wp14:sizeRelH relativeFrom="page">
              <wp14:pctWidth>0</wp14:pctWidth>
            </wp14:sizeRelH>
            <wp14:sizeRelV relativeFrom="page">
              <wp14:pctHeight>0</wp14:pctHeight>
            </wp14:sizeRelV>
          </wp:anchor>
        </w:drawing>
      </w:r>
      <w:r w:rsidRPr="00BB4920">
        <w:rPr>
          <w:noProof/>
          <w:snapToGrid/>
        </w:rPr>
        <mc:AlternateContent>
          <mc:Choice Requires="wps">
            <w:drawing>
              <wp:anchor distT="0" distB="0" distL="114300" distR="114300" simplePos="0" relativeHeight="251657216" behindDoc="0" locked="0" layoutInCell="1" allowOverlap="1" wp14:anchorId="078D2AC1" wp14:editId="4FD16265">
                <wp:simplePos x="0" y="0"/>
                <wp:positionH relativeFrom="page">
                  <wp:posOffset>-1230287</wp:posOffset>
                </wp:positionH>
                <wp:positionV relativeFrom="margin">
                  <wp:posOffset>3990017</wp:posOffset>
                </wp:positionV>
                <wp:extent cx="8067040" cy="2683240"/>
                <wp:effectExtent l="0" t="0" r="0" b="0"/>
                <wp:wrapSquare wrapText="bothSides"/>
                <wp:docPr id="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7040" cy="268324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114C3A" w14:textId="5CD71C5D" w:rsidR="00E338B3" w:rsidRDefault="00E338B3" w:rsidP="004C3798">
                            <w:pPr>
                              <w:jc w:val="center"/>
                              <w:rPr>
                                <w:b/>
                                <w:caps/>
                                <w:noProof/>
                                <w:color w:val="C2113A"/>
                                <w:sz w:val="44"/>
                              </w:rPr>
                            </w:pPr>
                            <w:r>
                              <w:rPr>
                                <w:b/>
                                <w:caps/>
                                <w:noProof/>
                                <w:color w:val="C2113A"/>
                                <w:sz w:val="44"/>
                              </w:rPr>
                              <w:t>pmi vectorlink</w:t>
                            </w:r>
                          </w:p>
                          <w:p w14:paraId="0CD97056" w14:textId="77777777" w:rsidR="00E338B3" w:rsidRDefault="00E338B3" w:rsidP="004C3798">
                            <w:pPr>
                              <w:jc w:val="center"/>
                              <w:rPr>
                                <w:b/>
                                <w:caps/>
                                <w:noProof/>
                                <w:color w:val="C2113A"/>
                                <w:sz w:val="44"/>
                              </w:rPr>
                            </w:pPr>
                          </w:p>
                          <w:p w14:paraId="324D4B57" w14:textId="77777777" w:rsidR="00E338B3" w:rsidRPr="00426B50" w:rsidRDefault="00E338B3" w:rsidP="004C3798">
                            <w:pPr>
                              <w:jc w:val="center"/>
                              <w:rPr>
                                <w:b/>
                                <w:caps/>
                                <w:noProof/>
                                <w:color w:val="C2113A"/>
                                <w:sz w:val="36"/>
                                <w:szCs w:val="36"/>
                              </w:rPr>
                            </w:pPr>
                            <w:r w:rsidRPr="00426B50">
                              <w:rPr>
                                <w:b/>
                                <w:caps/>
                                <w:noProof/>
                                <w:color w:val="C2113A"/>
                                <w:sz w:val="36"/>
                                <w:szCs w:val="36"/>
                              </w:rPr>
                              <w:t>ITN continuous distribution assessment toolkit</w:t>
                            </w:r>
                          </w:p>
                          <w:p w14:paraId="43680B21" w14:textId="7CED2FBC" w:rsidR="00E338B3" w:rsidRPr="00426B50" w:rsidRDefault="00E338B3" w:rsidP="004C3798">
                            <w:pPr>
                              <w:jc w:val="center"/>
                              <w:rPr>
                                <w:b/>
                                <w:caps/>
                                <w:noProof/>
                                <w:color w:val="C2113A"/>
                                <w:sz w:val="32"/>
                                <w:szCs w:val="32"/>
                              </w:rPr>
                            </w:pPr>
                            <w:r w:rsidRPr="004C3798">
                              <w:rPr>
                                <w:b/>
                                <w:caps/>
                                <w:noProof/>
                                <w:color w:val="C2113A"/>
                                <w:sz w:val="44"/>
                              </w:rPr>
                              <w:t xml:space="preserve"> </w:t>
                            </w:r>
                            <w:r w:rsidRPr="00426B50">
                              <w:rPr>
                                <w:b/>
                                <w:caps/>
                                <w:noProof/>
                                <w:color w:val="C2113A"/>
                                <w:sz w:val="32"/>
                                <w:szCs w:val="32"/>
                              </w:rPr>
                              <w:t>methods and materials</w:t>
                            </w:r>
                          </w:p>
                          <w:p w14:paraId="19161376" w14:textId="34784C3B" w:rsidR="00E338B3" w:rsidRPr="00A1108A" w:rsidRDefault="00E338B3" w:rsidP="004C3798">
                            <w:pPr>
                              <w:jc w:val="center"/>
                              <w:rPr>
                                <w:b/>
                                <w:caps/>
                                <w:noProof/>
                                <w:color w:val="C2113A"/>
                                <w:sz w:val="44"/>
                                <w:szCs w:val="20"/>
                              </w:rPr>
                            </w:pPr>
                            <w:r>
                              <w:rPr>
                                <w:b/>
                                <w:caps/>
                                <w:noProof/>
                                <w:color w:val="C2113A"/>
                                <w:sz w:val="44"/>
                              </w:rPr>
                              <w:t xml:space="preserve"> </w:t>
                            </w:r>
                          </w:p>
                          <w:p w14:paraId="39E3D14D" w14:textId="42266B50" w:rsidR="00E338B3" w:rsidRDefault="00E338B3" w:rsidP="00C04213">
                            <w:pPr>
                              <w:jc w:val="center"/>
                              <w:rPr>
                                <w:b/>
                                <w:caps/>
                                <w:noProof/>
                                <w:color w:val="C2113A"/>
                                <w:sz w:val="44"/>
                              </w:rPr>
                            </w:pPr>
                          </w:p>
                          <w:p w14:paraId="754F2C64" w14:textId="77777777" w:rsidR="00E338B3" w:rsidRPr="006B3B9B" w:rsidRDefault="00E338B3" w:rsidP="00C04213">
                            <w:pPr>
                              <w:jc w:val="center"/>
                              <w:rPr>
                                <w:b/>
                                <w:caps/>
                                <w:noProof/>
                                <w:color w:val="C2113A"/>
                                <w:sz w:val="32"/>
                                <w:szCs w:val="32"/>
                              </w:rPr>
                            </w:pPr>
                          </w:p>
                          <w:p w14:paraId="519D3976" w14:textId="77777777" w:rsidR="00E338B3" w:rsidRPr="00F1001F" w:rsidRDefault="00E338B3" w:rsidP="00446FAC">
                            <w:pPr>
                              <w:pStyle w:val="TechTitleFrontCover"/>
                              <w:rPr>
                                <w:b/>
                              </w:rPr>
                            </w:pPr>
                          </w:p>
                          <w:p w14:paraId="17B24D25" w14:textId="77777777" w:rsidR="00E338B3" w:rsidRDefault="00E338B3"/>
                        </w:txbxContent>
                      </wps:txbx>
                      <wps:bodyPr rot="0" vert="horz" wrap="square" lIns="914400" tIns="411480" rIns="3657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2AC1" id="_x0000_t202" coordsize="21600,21600" o:spt="202" path="m,l,21600r21600,l21600,xe">
                <v:stroke joinstyle="miter"/>
                <v:path gradientshapeok="t" o:connecttype="rect"/>
              </v:shapetype>
              <v:shape id="Text Box 101" o:spid="_x0000_s1026" type="#_x0000_t202" style="position:absolute;margin-left:-96.85pt;margin-top:314.15pt;width:635.2pt;height:2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" filled="f" fillcolor="navy" stroked="f" strokeweight="0">
                <v:textbox inset="1in,32.4pt,28.8pt,10.8pt">
                  <w:txbxContent>
                    <w:p w14:paraId="06114C3A" w14:textId="5CD71C5D" w:rsidR="00E338B3" w:rsidRDefault="00E338B3" w:rsidP="004C3798">
                      <w:pPr>
                        <w:jc w:val="center"/>
                        <w:rPr>
                          <w:b/>
                          <w:caps/>
                          <w:noProof/>
                          <w:color w:val="C2113A"/>
                          <w:sz w:val="44"/>
                        </w:rPr>
                      </w:pPr>
                      <w:r>
                        <w:rPr>
                          <w:b/>
                          <w:caps/>
                          <w:noProof/>
                          <w:color w:val="C2113A"/>
                          <w:sz w:val="44"/>
                        </w:rPr>
                        <w:t>pmi vectorlink</w:t>
                      </w:r>
                    </w:p>
                    <w:p w14:paraId="0CD97056" w14:textId="77777777" w:rsidR="00E338B3" w:rsidRDefault="00E338B3" w:rsidP="004C3798">
                      <w:pPr>
                        <w:jc w:val="center"/>
                        <w:rPr>
                          <w:b/>
                          <w:caps/>
                          <w:noProof/>
                          <w:color w:val="C2113A"/>
                          <w:sz w:val="44"/>
                        </w:rPr>
                      </w:pPr>
                    </w:p>
                    <w:p w14:paraId="324D4B57" w14:textId="77777777" w:rsidR="00E338B3" w:rsidRPr="00426B50" w:rsidRDefault="00E338B3" w:rsidP="004C3798">
                      <w:pPr>
                        <w:jc w:val="center"/>
                        <w:rPr>
                          <w:b/>
                          <w:caps/>
                          <w:noProof/>
                          <w:color w:val="C2113A"/>
                          <w:sz w:val="36"/>
                          <w:szCs w:val="36"/>
                        </w:rPr>
                      </w:pPr>
                      <w:r w:rsidRPr="00426B50">
                        <w:rPr>
                          <w:b/>
                          <w:caps/>
                          <w:noProof/>
                          <w:color w:val="C2113A"/>
                          <w:sz w:val="36"/>
                          <w:szCs w:val="36"/>
                        </w:rPr>
                        <w:t>ITN continuous distribution assessment toolkit</w:t>
                      </w:r>
                    </w:p>
                    <w:p w14:paraId="43680B21" w14:textId="7CED2FBC" w:rsidR="00E338B3" w:rsidRPr="00426B50" w:rsidRDefault="00E338B3" w:rsidP="004C3798">
                      <w:pPr>
                        <w:jc w:val="center"/>
                        <w:rPr>
                          <w:b/>
                          <w:caps/>
                          <w:noProof/>
                          <w:color w:val="C2113A"/>
                          <w:sz w:val="32"/>
                          <w:szCs w:val="32"/>
                        </w:rPr>
                      </w:pPr>
                      <w:r w:rsidRPr="004C3798">
                        <w:rPr>
                          <w:b/>
                          <w:caps/>
                          <w:noProof/>
                          <w:color w:val="C2113A"/>
                          <w:sz w:val="44"/>
                        </w:rPr>
                        <w:t xml:space="preserve"> </w:t>
                      </w:r>
                      <w:r w:rsidRPr="00426B50">
                        <w:rPr>
                          <w:b/>
                          <w:caps/>
                          <w:noProof/>
                          <w:color w:val="C2113A"/>
                          <w:sz w:val="32"/>
                          <w:szCs w:val="32"/>
                        </w:rPr>
                        <w:t>methods and materials</w:t>
                      </w:r>
                    </w:p>
                    <w:p w14:paraId="19161376" w14:textId="34784C3B" w:rsidR="00E338B3" w:rsidRPr="00A1108A" w:rsidRDefault="00E338B3" w:rsidP="004C3798">
                      <w:pPr>
                        <w:jc w:val="center"/>
                        <w:rPr>
                          <w:b/>
                          <w:caps/>
                          <w:noProof/>
                          <w:color w:val="C2113A"/>
                          <w:sz w:val="44"/>
                          <w:szCs w:val="20"/>
                        </w:rPr>
                      </w:pPr>
                      <w:r>
                        <w:rPr>
                          <w:b/>
                          <w:caps/>
                          <w:noProof/>
                          <w:color w:val="C2113A"/>
                          <w:sz w:val="44"/>
                        </w:rPr>
                        <w:t xml:space="preserve"> </w:t>
                      </w:r>
                    </w:p>
                    <w:p w14:paraId="39E3D14D" w14:textId="42266B50" w:rsidR="00E338B3" w:rsidRDefault="00E338B3" w:rsidP="00C04213">
                      <w:pPr>
                        <w:jc w:val="center"/>
                        <w:rPr>
                          <w:b/>
                          <w:caps/>
                          <w:noProof/>
                          <w:color w:val="C2113A"/>
                          <w:sz w:val="44"/>
                        </w:rPr>
                      </w:pPr>
                    </w:p>
                    <w:p w14:paraId="754F2C64" w14:textId="77777777" w:rsidR="00E338B3" w:rsidRPr="006B3B9B" w:rsidRDefault="00E338B3" w:rsidP="00C04213">
                      <w:pPr>
                        <w:jc w:val="center"/>
                        <w:rPr>
                          <w:b/>
                          <w:caps/>
                          <w:noProof/>
                          <w:color w:val="C2113A"/>
                          <w:sz w:val="32"/>
                          <w:szCs w:val="32"/>
                        </w:rPr>
                      </w:pPr>
                    </w:p>
                    <w:p w14:paraId="519D3976" w14:textId="77777777" w:rsidR="00E338B3" w:rsidRPr="00F1001F" w:rsidRDefault="00E338B3" w:rsidP="00446FAC">
                      <w:pPr>
                        <w:pStyle w:val="TechTitleFrontCover"/>
                        <w:rPr>
                          <w:b/>
                        </w:rPr>
                      </w:pPr>
                    </w:p>
                    <w:p w14:paraId="17B24D25" w14:textId="77777777" w:rsidR="00E338B3" w:rsidRDefault="00E338B3"/>
                  </w:txbxContent>
                </v:textbox>
                <w10:wrap type="square" anchorx="page" anchory="margin"/>
              </v:shape>
            </w:pict>
          </mc:Fallback>
        </mc:AlternateContent>
      </w:r>
      <w:r w:rsidR="000E0D2C" w:rsidRPr="00BB4920">
        <w:rPr>
          <w:noProof/>
          <w:snapToGrid/>
        </w:rPr>
        <mc:AlternateContent>
          <mc:Choice Requires="wps">
            <w:drawing>
              <wp:anchor distT="0" distB="0" distL="114300" distR="114300" simplePos="0" relativeHeight="251658240" behindDoc="0" locked="0" layoutInCell="1" allowOverlap="1" wp14:anchorId="21471FF4" wp14:editId="40A19F52">
                <wp:simplePos x="0" y="0"/>
                <wp:positionH relativeFrom="column">
                  <wp:posOffset>1075055</wp:posOffset>
                </wp:positionH>
                <wp:positionV relativeFrom="paragraph">
                  <wp:posOffset>-4272915</wp:posOffset>
                </wp:positionV>
                <wp:extent cx="3411855" cy="2282190"/>
                <wp:effectExtent l="0" t="0" r="0" b="3810"/>
                <wp:wrapSquare wrapText="bothSides"/>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0F1C" w14:textId="77777777" w:rsidR="00E338B3" w:rsidRPr="0039775C" w:rsidRDefault="00E338B3" w:rsidP="00D73842">
                            <w:pPr>
                              <w:ind w:left="3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71FF4" id="Text Box 102" o:spid="_x0000_s1027" type="#_x0000_t202" style="position:absolute;margin-left:84.65pt;margin-top:-336.45pt;width:268.65pt;height:1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" filled="f" stroked="f">
                <v:textbox style="mso-fit-shape-to-text:t">
                  <w:txbxContent>
                    <w:p w14:paraId="629D0F1C" w14:textId="77777777" w:rsidR="00E338B3" w:rsidRPr="0039775C" w:rsidRDefault="00E338B3" w:rsidP="00D73842">
                      <w:pPr>
                        <w:ind w:left="360"/>
                      </w:pPr>
                    </w:p>
                  </w:txbxContent>
                </v:textbox>
                <w10:wrap type="square"/>
              </v:shape>
            </w:pict>
          </mc:Fallback>
        </mc:AlternateContent>
      </w:r>
    </w:p>
    <w:p w14:paraId="222266B7" w14:textId="205E08B8" w:rsidR="00993708" w:rsidRPr="009B0CBB" w:rsidRDefault="00993708" w:rsidP="009B0CBB">
      <w:pPr>
        <w:shd w:val="clear" w:color="auto" w:fill="FFFFFF"/>
        <w:jc w:val="both"/>
        <w:rPr>
          <w:rFonts w:ascii="Garamond" w:eastAsiaTheme="minorEastAsia" w:hAnsi="Garamond"/>
          <w:noProof/>
          <w:color w:val="000000"/>
          <w:sz w:val="22"/>
          <w:szCs w:val="22"/>
        </w:rPr>
      </w:pPr>
      <w:bookmarkStart w:id="0" w:name="_Toc121901166"/>
      <w:bookmarkStart w:id="1" w:name="_Toc121911154"/>
      <w:r w:rsidRPr="009B0CBB">
        <w:rPr>
          <w:rStyle w:val="MissionpagetextboldChar"/>
          <w:rFonts w:ascii="Garamond" w:hAnsi="Garamond"/>
        </w:rPr>
        <w:lastRenderedPageBreak/>
        <w:t>Recommended Citation:</w:t>
      </w:r>
      <w:r w:rsidRPr="00102EB3">
        <w:rPr>
          <w:rStyle w:val="MissionpagetextboldChar"/>
          <w:rFonts w:ascii="Garamond" w:hAnsi="Garamond"/>
        </w:rPr>
        <w:t xml:space="preserve"> </w:t>
      </w:r>
      <w:r w:rsidRPr="009B0CBB">
        <w:rPr>
          <w:rFonts w:ascii="Garamond" w:hAnsi="Garamond"/>
          <w:sz w:val="22"/>
          <w:szCs w:val="22"/>
        </w:rPr>
        <w:t xml:space="preserve">The </w:t>
      </w:r>
      <w:r w:rsidRPr="009B0CBB">
        <w:rPr>
          <w:rStyle w:val="MissionpagetextboldChar"/>
          <w:rFonts w:ascii="Garamond" w:hAnsi="Garamond" w:cs="Times New Roman"/>
          <w:b w:val="0"/>
          <w:color w:val="auto"/>
        </w:rPr>
        <w:t xml:space="preserve">PMI VectorLink Project. </w:t>
      </w:r>
      <w:r w:rsidR="00A3676D">
        <w:rPr>
          <w:rStyle w:val="MissionpagetextboldChar"/>
          <w:rFonts w:ascii="Garamond" w:hAnsi="Garamond"/>
          <w:b w:val="0"/>
        </w:rPr>
        <w:t xml:space="preserve">July </w:t>
      </w:r>
      <w:r w:rsidR="004C3798">
        <w:rPr>
          <w:rStyle w:val="MissionpagetextboldChar"/>
          <w:rFonts w:ascii="Garamond" w:hAnsi="Garamond"/>
          <w:b w:val="0"/>
        </w:rPr>
        <w:t>2020</w:t>
      </w:r>
      <w:r w:rsidRPr="009B0CBB">
        <w:rPr>
          <w:rStyle w:val="MissionpagetextboldChar"/>
          <w:rFonts w:ascii="Garamond" w:hAnsi="Garamond"/>
          <w:b w:val="0"/>
        </w:rPr>
        <w:t>.</w:t>
      </w:r>
      <w:r w:rsidR="004C3798">
        <w:rPr>
          <w:rStyle w:val="MissionpagetextboldChar"/>
          <w:rFonts w:ascii="Garamond" w:hAnsi="Garamond"/>
          <w:b w:val="0"/>
        </w:rPr>
        <w:t xml:space="preserve"> ITN Continuous Distribution Assessment </w:t>
      </w:r>
      <w:r w:rsidR="00426B50">
        <w:rPr>
          <w:rStyle w:val="MissionpagetextboldChar"/>
          <w:rFonts w:ascii="Garamond" w:hAnsi="Garamond"/>
          <w:b w:val="0"/>
        </w:rPr>
        <w:t xml:space="preserve">Toolkit: </w:t>
      </w:r>
      <w:r w:rsidR="004C3798">
        <w:rPr>
          <w:rStyle w:val="MissionpagetextboldChar"/>
          <w:rFonts w:ascii="Garamond" w:hAnsi="Garamond"/>
          <w:b w:val="0"/>
        </w:rPr>
        <w:t>Methods and Materials</w:t>
      </w:r>
      <w:r w:rsidRPr="009B0CBB">
        <w:rPr>
          <w:rFonts w:ascii="Garamond" w:hAnsi="Garamond"/>
          <w:sz w:val="22"/>
          <w:szCs w:val="22"/>
        </w:rPr>
        <w:t xml:space="preserve">. </w:t>
      </w:r>
      <w:r w:rsidR="009B0CBB">
        <w:rPr>
          <w:rFonts w:ascii="Garamond" w:hAnsi="Garamond"/>
          <w:sz w:val="22"/>
          <w:szCs w:val="22"/>
        </w:rPr>
        <w:t xml:space="preserve">The PMI VectorLink Project, </w:t>
      </w:r>
      <w:r w:rsidR="00B5767A" w:rsidRPr="00B5767A">
        <w:rPr>
          <w:rFonts w:ascii="Garamond" w:hAnsi="Garamond"/>
          <w:sz w:val="22"/>
          <w:szCs w:val="22"/>
        </w:rPr>
        <w:t>Population Services International (PSI).</w:t>
      </w:r>
    </w:p>
    <w:p w14:paraId="1CCB47F5" w14:textId="77777777" w:rsidR="00993708" w:rsidRPr="009B0CBB" w:rsidRDefault="00993708" w:rsidP="00102EB3">
      <w:pPr>
        <w:pStyle w:val="MissionPage"/>
        <w:rPr>
          <w:rStyle w:val="MissionpagetextboldChar"/>
          <w:rFonts w:ascii="Garamond" w:hAnsi="Garamond"/>
          <w:b w:val="0"/>
        </w:rPr>
      </w:pPr>
      <w:r w:rsidRPr="009B0CBB">
        <w:rPr>
          <w:rStyle w:val="MissionpagetextboldChar"/>
          <w:rFonts w:ascii="Garamond" w:hAnsi="Garamond"/>
        </w:rPr>
        <w:t>Contract:</w:t>
      </w:r>
      <w:r w:rsidRPr="009B0CBB">
        <w:rPr>
          <w:rStyle w:val="MissionpagetextboldChar"/>
          <w:rFonts w:ascii="Garamond" w:hAnsi="Garamond"/>
          <w:b w:val="0"/>
        </w:rPr>
        <w:t xml:space="preserve"> AID-OAA-I-17-00008 </w:t>
      </w:r>
    </w:p>
    <w:p w14:paraId="3D9454CD" w14:textId="77777777" w:rsidR="00993708" w:rsidRPr="009B0CBB" w:rsidRDefault="00993708" w:rsidP="00926FBF">
      <w:pPr>
        <w:pStyle w:val="MissionPage"/>
        <w:rPr>
          <w:rStyle w:val="MissionpagetextboldChar"/>
          <w:rFonts w:ascii="Garamond" w:hAnsi="Garamond"/>
          <w:b w:val="0"/>
        </w:rPr>
      </w:pPr>
      <w:r w:rsidRPr="009B0CBB">
        <w:rPr>
          <w:rStyle w:val="MissionpagetextboldChar"/>
          <w:rFonts w:ascii="Garamond" w:hAnsi="Garamond"/>
        </w:rPr>
        <w:t>Task Order:</w:t>
      </w:r>
      <w:r w:rsidRPr="009B0CBB">
        <w:rPr>
          <w:rStyle w:val="MissionpagetextboldChar"/>
          <w:rFonts w:ascii="Garamond" w:hAnsi="Garamond"/>
          <w:b w:val="0"/>
        </w:rPr>
        <w:t xml:space="preserve"> AID-OAA-TO-17-00027</w:t>
      </w:r>
    </w:p>
    <w:p w14:paraId="7E860B4B" w14:textId="77777777" w:rsidR="00993708" w:rsidRPr="009B0CBB" w:rsidRDefault="00993708">
      <w:pPr>
        <w:pStyle w:val="MissionPage"/>
        <w:rPr>
          <w:rStyle w:val="MissionpagetextboldChar"/>
          <w:rFonts w:ascii="Garamond" w:hAnsi="Garamond"/>
          <w:b w:val="0"/>
        </w:rPr>
      </w:pPr>
      <w:r w:rsidRPr="009B0CBB">
        <w:rPr>
          <w:rStyle w:val="MissionpagetextboldChar"/>
          <w:rFonts w:ascii="Garamond" w:hAnsi="Garamond"/>
        </w:rPr>
        <w:t>Submitted to:</w:t>
      </w:r>
      <w:r w:rsidRPr="009B0CBB">
        <w:rPr>
          <w:rStyle w:val="MissionpagetextboldChar"/>
          <w:rFonts w:ascii="Garamond" w:hAnsi="Garamond"/>
          <w:b w:val="0"/>
        </w:rPr>
        <w:t xml:space="preserve"> United States Agency for International Development/PMI</w:t>
      </w:r>
    </w:p>
    <w:p w14:paraId="511BABEA" w14:textId="77777777" w:rsidR="00993708" w:rsidRDefault="00993708" w:rsidP="00993708">
      <w:pPr>
        <w:pStyle w:val="MissionPage"/>
        <w:rPr>
          <w:rStyle w:val="MissionpagetextboldChar"/>
          <w:rFonts w:ascii="Garamond" w:hAnsi="Garamond"/>
        </w:rPr>
      </w:pPr>
    </w:p>
    <w:p w14:paraId="2D9F0700" w14:textId="77777777" w:rsidR="00993708" w:rsidRDefault="00993708" w:rsidP="00993708">
      <w:pPr>
        <w:pStyle w:val="MissionPage"/>
        <w:rPr>
          <w:rStyle w:val="MissionpagetextboldChar"/>
          <w:rFonts w:ascii="Garamond" w:hAnsi="Garamond"/>
        </w:rPr>
      </w:pPr>
    </w:p>
    <w:p w14:paraId="48DC606B" w14:textId="77777777" w:rsidR="00993708" w:rsidRDefault="00993708" w:rsidP="00993708">
      <w:pPr>
        <w:pStyle w:val="MissionPage"/>
        <w:rPr>
          <w:rStyle w:val="MissionpagetextboldChar"/>
          <w:rFonts w:ascii="Garamond" w:hAnsi="Garamond"/>
        </w:rPr>
      </w:pPr>
    </w:p>
    <w:p w14:paraId="496BC568" w14:textId="77777777" w:rsidR="00993708" w:rsidRDefault="00993708" w:rsidP="00993708">
      <w:pPr>
        <w:pStyle w:val="MissionPage"/>
        <w:rPr>
          <w:rStyle w:val="MissionpagetextboldChar"/>
          <w:rFonts w:ascii="Garamond" w:hAnsi="Garamond"/>
        </w:rPr>
      </w:pPr>
    </w:p>
    <w:p w14:paraId="46810D22" w14:textId="77777777" w:rsidR="00993708" w:rsidRDefault="00993708" w:rsidP="00993708">
      <w:pPr>
        <w:pStyle w:val="MissionPage"/>
        <w:rPr>
          <w:rStyle w:val="MissionpagetextboldChar"/>
          <w:rFonts w:ascii="Garamond" w:hAnsi="Garamond"/>
        </w:rPr>
      </w:pPr>
    </w:p>
    <w:p w14:paraId="5FE1AFD6" w14:textId="77777777" w:rsidR="00993708" w:rsidRDefault="00993708" w:rsidP="00993708">
      <w:pPr>
        <w:pStyle w:val="MissionPage"/>
        <w:rPr>
          <w:rStyle w:val="MissionpagetextboldChar"/>
          <w:rFonts w:ascii="Garamond" w:hAnsi="Garamond"/>
        </w:rPr>
      </w:pPr>
    </w:p>
    <w:p w14:paraId="70238074" w14:textId="77777777" w:rsidR="00993708" w:rsidRDefault="00993708" w:rsidP="00993708">
      <w:pPr>
        <w:pStyle w:val="MissionPage"/>
        <w:rPr>
          <w:rStyle w:val="MissionpagetextboldChar"/>
          <w:rFonts w:ascii="Garamond" w:hAnsi="Garamond"/>
        </w:rPr>
      </w:pPr>
    </w:p>
    <w:p w14:paraId="1D03C892" w14:textId="77777777" w:rsidR="00993708" w:rsidRDefault="00993708" w:rsidP="00993708">
      <w:pPr>
        <w:pStyle w:val="MissionPage"/>
        <w:rPr>
          <w:rStyle w:val="MissionpagetextboldChar"/>
          <w:rFonts w:ascii="Garamond" w:hAnsi="Garamond"/>
        </w:rPr>
      </w:pPr>
    </w:p>
    <w:p w14:paraId="35324834" w14:textId="77777777" w:rsidR="00993708" w:rsidRDefault="00993708" w:rsidP="00993708">
      <w:pPr>
        <w:pStyle w:val="MissionPage"/>
        <w:rPr>
          <w:rStyle w:val="MissionpagetextboldChar"/>
          <w:rFonts w:ascii="Garamond" w:hAnsi="Garamond"/>
        </w:rPr>
      </w:pPr>
    </w:p>
    <w:p w14:paraId="6508D173" w14:textId="77777777" w:rsidR="00993708" w:rsidRDefault="00993708" w:rsidP="00993708">
      <w:pPr>
        <w:pStyle w:val="MissionPage"/>
        <w:rPr>
          <w:rStyle w:val="MissionpagetextboldChar"/>
          <w:rFonts w:ascii="Garamond" w:hAnsi="Garamond"/>
        </w:rPr>
      </w:pPr>
    </w:p>
    <w:p w14:paraId="1E580B76" w14:textId="77777777" w:rsidR="00993708" w:rsidRDefault="00993708" w:rsidP="00993708">
      <w:pPr>
        <w:pStyle w:val="MissionPage"/>
        <w:rPr>
          <w:rStyle w:val="MissionpagetextboldChar"/>
          <w:rFonts w:ascii="Garamond" w:hAnsi="Garamond"/>
        </w:rPr>
      </w:pPr>
    </w:p>
    <w:p w14:paraId="32BC69D0" w14:textId="77777777" w:rsidR="00993708" w:rsidRDefault="00993708" w:rsidP="00993708">
      <w:pPr>
        <w:pStyle w:val="MissionPage"/>
        <w:rPr>
          <w:rStyle w:val="MissionpagetextboldChar"/>
          <w:rFonts w:ascii="Garamond" w:hAnsi="Garamond"/>
        </w:rPr>
      </w:pPr>
    </w:p>
    <w:p w14:paraId="01341008" w14:textId="77777777" w:rsidR="00993708" w:rsidRDefault="00993708" w:rsidP="00993708">
      <w:pPr>
        <w:pStyle w:val="MissionPage"/>
        <w:rPr>
          <w:rStyle w:val="MissionpagetextboldChar"/>
          <w:rFonts w:ascii="Garamond" w:hAnsi="Garamond"/>
        </w:rPr>
      </w:pPr>
    </w:p>
    <w:p w14:paraId="4557B09D" w14:textId="77777777" w:rsidR="00993708" w:rsidRDefault="00993708" w:rsidP="00993708">
      <w:pPr>
        <w:pStyle w:val="MissionPage"/>
        <w:rPr>
          <w:rStyle w:val="MissionpagetextboldChar"/>
          <w:rFonts w:ascii="Garamond" w:hAnsi="Garamond"/>
        </w:rPr>
      </w:pPr>
    </w:p>
    <w:p w14:paraId="501F493B" w14:textId="77777777" w:rsidR="00993708" w:rsidRDefault="00993708" w:rsidP="00993708">
      <w:pPr>
        <w:pStyle w:val="MissionPage"/>
        <w:rPr>
          <w:rStyle w:val="MissionpagetextboldChar"/>
          <w:rFonts w:ascii="Garamond" w:hAnsi="Garamond"/>
        </w:rPr>
      </w:pPr>
    </w:p>
    <w:p w14:paraId="5B494BB3" w14:textId="77777777" w:rsidR="00993708" w:rsidRDefault="00993708" w:rsidP="00993708">
      <w:pPr>
        <w:pStyle w:val="MissionPage"/>
        <w:rPr>
          <w:rStyle w:val="MissionpagetextboldChar"/>
          <w:rFonts w:ascii="Garamond" w:hAnsi="Garamond"/>
        </w:rPr>
      </w:pPr>
    </w:p>
    <w:p w14:paraId="25EA081E" w14:textId="77777777" w:rsidR="00993708" w:rsidRDefault="00993708" w:rsidP="00993708">
      <w:pPr>
        <w:pStyle w:val="MissionPage"/>
        <w:rPr>
          <w:rStyle w:val="MissionpagetextboldChar"/>
          <w:rFonts w:ascii="Garamond" w:hAnsi="Garamond"/>
        </w:rPr>
      </w:pPr>
    </w:p>
    <w:p w14:paraId="1E462491" w14:textId="77777777" w:rsidR="00993708" w:rsidRDefault="00993708" w:rsidP="00993708">
      <w:pPr>
        <w:pStyle w:val="MissionPage"/>
        <w:rPr>
          <w:rStyle w:val="MissionpagetextboldChar"/>
          <w:rFonts w:ascii="Garamond" w:hAnsi="Garamond"/>
        </w:rPr>
      </w:pPr>
    </w:p>
    <w:p w14:paraId="03F594F6" w14:textId="77777777" w:rsidR="00993708" w:rsidRDefault="00993708" w:rsidP="00993708">
      <w:pPr>
        <w:pStyle w:val="MissionPage"/>
        <w:rPr>
          <w:rStyle w:val="MissionpagetextboldChar"/>
          <w:rFonts w:ascii="Garamond" w:hAnsi="Garamond"/>
        </w:rPr>
      </w:pPr>
    </w:p>
    <w:p w14:paraId="7F606360" w14:textId="77777777" w:rsidR="00993708" w:rsidRDefault="00993708" w:rsidP="00993708">
      <w:pPr>
        <w:pStyle w:val="MissionPage"/>
        <w:rPr>
          <w:rStyle w:val="MissionpagetextboldChar"/>
          <w:rFonts w:ascii="Garamond" w:hAnsi="Garamond"/>
        </w:rPr>
      </w:pPr>
    </w:p>
    <w:p w14:paraId="2FD15B0D" w14:textId="77777777" w:rsidR="00993708" w:rsidRDefault="00993708" w:rsidP="00993708">
      <w:pPr>
        <w:pStyle w:val="MissionPage"/>
        <w:rPr>
          <w:rStyle w:val="MissionpagetextboldChar"/>
          <w:rFonts w:ascii="Garamond" w:hAnsi="Garamond"/>
        </w:rPr>
      </w:pPr>
    </w:p>
    <w:p w14:paraId="0D9EE142" w14:textId="77777777" w:rsidR="00993708" w:rsidRDefault="00993708" w:rsidP="00993708">
      <w:pPr>
        <w:pStyle w:val="MissionPage"/>
        <w:rPr>
          <w:rStyle w:val="MissionpagetextboldChar"/>
          <w:rFonts w:ascii="Garamond" w:hAnsi="Garamond"/>
        </w:rPr>
      </w:pPr>
    </w:p>
    <w:p w14:paraId="23346B28" w14:textId="77777777" w:rsidR="00993708" w:rsidRDefault="00993708" w:rsidP="00993708">
      <w:pPr>
        <w:pStyle w:val="MissionPage"/>
        <w:rPr>
          <w:rStyle w:val="MissionpagetextboldChar"/>
          <w:rFonts w:ascii="Garamond" w:hAnsi="Garamond"/>
        </w:rPr>
      </w:pPr>
    </w:p>
    <w:p w14:paraId="2CFFB0A1" w14:textId="77777777" w:rsidR="00993708" w:rsidRDefault="00993708" w:rsidP="00993708">
      <w:pPr>
        <w:pStyle w:val="MissionPage"/>
        <w:rPr>
          <w:rStyle w:val="MissionpagetextboldChar"/>
          <w:rFonts w:ascii="Garamond" w:hAnsi="Garamond"/>
        </w:rPr>
      </w:pPr>
    </w:p>
    <w:p w14:paraId="6827D4D2" w14:textId="77777777" w:rsidR="00993708" w:rsidRDefault="00993708" w:rsidP="00993708">
      <w:pPr>
        <w:pStyle w:val="MissionPage"/>
        <w:rPr>
          <w:rStyle w:val="MissionpagetextboldChar"/>
          <w:rFonts w:ascii="Garamond" w:hAnsi="Garamond"/>
        </w:rPr>
      </w:pPr>
    </w:p>
    <w:p w14:paraId="3D40CA03" w14:textId="7CB314E1" w:rsidR="00993708" w:rsidRPr="00A360A0" w:rsidRDefault="00993708" w:rsidP="00993708">
      <w:pPr>
        <w:jc w:val="center"/>
        <w:rPr>
          <w:b/>
          <w:caps/>
          <w:noProof/>
          <w:color w:val="17365D" w:themeColor="text2" w:themeShade="BF"/>
          <w:sz w:val="56"/>
          <w:szCs w:val="56"/>
        </w:rPr>
      </w:pPr>
    </w:p>
    <w:p w14:paraId="0603E2A0" w14:textId="77777777" w:rsidR="003D2157" w:rsidRDefault="003D2157" w:rsidP="003D2157">
      <w:pPr>
        <w:tabs>
          <w:tab w:val="left" w:pos="2291"/>
          <w:tab w:val="center" w:pos="4680"/>
        </w:tabs>
        <w:rPr>
          <w:rFonts w:ascii="Arial" w:hAnsi="Arial" w:cs="Arial"/>
          <w:caps/>
          <w:noProof/>
          <w:color w:val="17365D" w:themeColor="text2" w:themeShade="BF"/>
          <w:sz w:val="60"/>
          <w:szCs w:val="60"/>
        </w:rPr>
      </w:pPr>
      <w:r>
        <w:rPr>
          <w:rFonts w:ascii="Arial" w:hAnsi="Arial" w:cs="Arial"/>
          <w:caps/>
          <w:noProof/>
          <w:color w:val="17365D" w:themeColor="text2" w:themeShade="BF"/>
          <w:sz w:val="60"/>
          <w:szCs w:val="60"/>
        </w:rPr>
        <w:tab/>
      </w:r>
    </w:p>
    <w:p w14:paraId="1FCB9C72" w14:textId="77777777" w:rsidR="003D2157" w:rsidRDefault="003D2157" w:rsidP="003D2157">
      <w:pPr>
        <w:tabs>
          <w:tab w:val="left" w:pos="2291"/>
          <w:tab w:val="center" w:pos="4680"/>
        </w:tabs>
        <w:rPr>
          <w:rFonts w:ascii="Arial" w:hAnsi="Arial" w:cs="Arial"/>
          <w:caps/>
          <w:noProof/>
          <w:color w:val="17365D" w:themeColor="text2" w:themeShade="BF"/>
          <w:sz w:val="60"/>
          <w:szCs w:val="60"/>
        </w:rPr>
      </w:pPr>
    </w:p>
    <w:p w14:paraId="613D7DBB" w14:textId="77777777" w:rsidR="003D2157" w:rsidRDefault="003D2157" w:rsidP="003D2157">
      <w:pPr>
        <w:tabs>
          <w:tab w:val="left" w:pos="2291"/>
          <w:tab w:val="center" w:pos="4680"/>
        </w:tabs>
        <w:rPr>
          <w:rFonts w:ascii="Arial" w:hAnsi="Arial" w:cs="Arial"/>
          <w:caps/>
          <w:noProof/>
          <w:color w:val="17365D" w:themeColor="text2" w:themeShade="BF"/>
          <w:sz w:val="60"/>
          <w:szCs w:val="60"/>
        </w:rPr>
      </w:pPr>
    </w:p>
    <w:p w14:paraId="2BF25FFB" w14:textId="77777777" w:rsidR="004C3798" w:rsidRDefault="003D2157" w:rsidP="003D2157">
      <w:pPr>
        <w:tabs>
          <w:tab w:val="left" w:pos="2291"/>
          <w:tab w:val="center" w:pos="4680"/>
        </w:tabs>
        <w:jc w:val="center"/>
        <w:rPr>
          <w:rFonts w:ascii="Arial" w:hAnsi="Arial" w:cs="Arial"/>
          <w:caps/>
          <w:noProof/>
          <w:color w:val="17365D" w:themeColor="text2" w:themeShade="BF"/>
          <w:sz w:val="60"/>
          <w:szCs w:val="60"/>
        </w:rPr>
      </w:pPr>
      <w:r>
        <w:rPr>
          <w:rFonts w:ascii="Arial" w:hAnsi="Arial" w:cs="Arial"/>
          <w:caps/>
          <w:noProof/>
          <w:color w:val="17365D" w:themeColor="text2" w:themeShade="BF"/>
          <w:sz w:val="60"/>
          <w:szCs w:val="60"/>
        </w:rPr>
        <w:t xml:space="preserve">pmi vectorlink </w:t>
      </w:r>
    </w:p>
    <w:p w14:paraId="5DCB40D2" w14:textId="032A9345" w:rsidR="00993708" w:rsidRPr="00426B50" w:rsidRDefault="004C3798" w:rsidP="003D2157">
      <w:pPr>
        <w:tabs>
          <w:tab w:val="left" w:pos="2291"/>
          <w:tab w:val="center" w:pos="4680"/>
        </w:tabs>
        <w:jc w:val="center"/>
        <w:rPr>
          <w:rFonts w:ascii="Arial" w:hAnsi="Arial" w:cs="Arial"/>
          <w:caps/>
          <w:noProof/>
          <w:color w:val="17365D" w:themeColor="text2" w:themeShade="BF"/>
          <w:sz w:val="32"/>
          <w:szCs w:val="32"/>
        </w:rPr>
      </w:pPr>
      <w:r w:rsidRPr="00426B50">
        <w:rPr>
          <w:rFonts w:ascii="Arial" w:hAnsi="Arial" w:cs="Arial"/>
          <w:caps/>
          <w:noProof/>
          <w:color w:val="17365D" w:themeColor="text2" w:themeShade="BF"/>
          <w:sz w:val="32"/>
          <w:szCs w:val="32"/>
        </w:rPr>
        <w:t xml:space="preserve">ITN </w:t>
      </w:r>
      <w:r w:rsidR="00993708" w:rsidRPr="00426B50">
        <w:rPr>
          <w:rFonts w:ascii="Arial" w:hAnsi="Arial" w:cs="Arial"/>
          <w:caps/>
          <w:noProof/>
          <w:color w:val="17365D" w:themeColor="text2" w:themeShade="BF"/>
          <w:sz w:val="32"/>
          <w:szCs w:val="32"/>
        </w:rPr>
        <w:t>Continuous D</w:t>
      </w:r>
      <w:r w:rsidRPr="00426B50">
        <w:rPr>
          <w:rFonts w:ascii="Arial" w:hAnsi="Arial" w:cs="Arial"/>
          <w:caps/>
          <w:noProof/>
          <w:color w:val="17365D" w:themeColor="text2" w:themeShade="BF"/>
          <w:sz w:val="32"/>
          <w:szCs w:val="32"/>
        </w:rPr>
        <w:t>ISTRIBUTION ASSESSMENT</w:t>
      </w:r>
      <w:r w:rsidR="00426B50" w:rsidRPr="00426B50">
        <w:rPr>
          <w:rFonts w:ascii="Arial" w:hAnsi="Arial" w:cs="Arial"/>
          <w:caps/>
          <w:noProof/>
          <w:color w:val="17365D" w:themeColor="text2" w:themeShade="BF"/>
          <w:sz w:val="32"/>
          <w:szCs w:val="32"/>
        </w:rPr>
        <w:t xml:space="preserve"> toolkit</w:t>
      </w:r>
    </w:p>
    <w:p w14:paraId="33EB0F45" w14:textId="05955714" w:rsidR="004C3798" w:rsidRPr="00426B50" w:rsidRDefault="004C3798" w:rsidP="003D2157">
      <w:pPr>
        <w:tabs>
          <w:tab w:val="left" w:pos="2291"/>
          <w:tab w:val="center" w:pos="4680"/>
        </w:tabs>
        <w:jc w:val="center"/>
        <w:rPr>
          <w:rFonts w:ascii="Arial" w:hAnsi="Arial" w:cs="Arial"/>
          <w:caps/>
          <w:noProof/>
          <w:color w:val="17365D" w:themeColor="text2" w:themeShade="BF"/>
          <w:sz w:val="28"/>
          <w:szCs w:val="28"/>
        </w:rPr>
      </w:pPr>
      <w:r w:rsidRPr="00426B50">
        <w:rPr>
          <w:rFonts w:ascii="Arial" w:hAnsi="Arial" w:cs="Arial"/>
          <w:caps/>
          <w:noProof/>
          <w:color w:val="17365D" w:themeColor="text2" w:themeShade="BF"/>
          <w:sz w:val="28"/>
          <w:szCs w:val="28"/>
        </w:rPr>
        <w:t>METHODS AND MATERIALS</w:t>
      </w:r>
    </w:p>
    <w:p w14:paraId="63F12C5F" w14:textId="35380A56" w:rsidR="00F42C1B" w:rsidRDefault="00F42C1B">
      <w:pPr>
        <w:rPr>
          <w:rFonts w:ascii="Arial" w:hAnsi="Arial"/>
          <w:smallCaps/>
          <w:snapToGrid w:val="0"/>
          <w:color w:val="C2113A"/>
          <w:sz w:val="60"/>
          <w:szCs w:val="20"/>
        </w:rPr>
      </w:pPr>
      <w:r>
        <w:br w:type="page"/>
      </w:r>
    </w:p>
    <w:p w14:paraId="70A8A0B2" w14:textId="77777777" w:rsidR="007A2D84" w:rsidRPr="0025341C" w:rsidRDefault="007A2D84">
      <w:pPr>
        <w:pStyle w:val="ContentsTitle"/>
      </w:pPr>
      <w:r w:rsidRPr="0025341C">
        <w:lastRenderedPageBreak/>
        <w:t>Contents</w:t>
      </w:r>
      <w:bookmarkEnd w:id="0"/>
      <w:bookmarkEnd w:id="1"/>
    </w:p>
    <w:sdt>
      <w:sdtPr>
        <w:rPr>
          <w:rFonts w:ascii="Garamond" w:hAnsi="Garamond"/>
          <w:b w:val="0"/>
          <w:bCs w:val="0"/>
          <w:noProof w:val="0"/>
          <w:sz w:val="24"/>
          <w:szCs w:val="20"/>
        </w:rPr>
        <w:id w:val="1073081913"/>
        <w:docPartObj>
          <w:docPartGallery w:val="Table of Contents"/>
          <w:docPartUnique/>
        </w:docPartObj>
      </w:sdtPr>
      <w:sdtEndPr>
        <w:rPr>
          <w:rFonts w:ascii="Times New Roman" w:hAnsi="Times New Roman"/>
          <w:b/>
          <w:bCs/>
          <w:szCs w:val="24"/>
        </w:rPr>
      </w:sdtEndPr>
      <w:sdtContent>
        <w:p w14:paraId="082B5F49" w14:textId="2C1B69AF" w:rsidR="00E14EDC" w:rsidRPr="00E14EDC" w:rsidRDefault="00801CE2">
          <w:pPr>
            <w:pStyle w:val="TOC1"/>
            <w:rPr>
              <w:rFonts w:ascii="Garamond" w:eastAsiaTheme="minorEastAsia" w:hAnsi="Garamond" w:cs="Mangal"/>
              <w:b w:val="0"/>
              <w:bCs w:val="0"/>
              <w:szCs w:val="20"/>
              <w:lang w:bidi="hi-IN"/>
            </w:rPr>
          </w:pPr>
          <w:r w:rsidRPr="008956CA">
            <w:rPr>
              <w:rStyle w:val="Hyperlink"/>
            </w:rPr>
            <w:fldChar w:fldCharType="begin"/>
          </w:r>
          <w:r w:rsidRPr="008956CA">
            <w:rPr>
              <w:rStyle w:val="Hyperlink"/>
              <w:rFonts w:ascii="Garamond" w:hAnsi="Garamond"/>
              <w:szCs w:val="22"/>
            </w:rPr>
            <w:instrText xml:space="preserve"> TOC \o "1-3" \h \z \u </w:instrText>
          </w:r>
          <w:r w:rsidRPr="008956CA">
            <w:rPr>
              <w:rStyle w:val="Hyperlink"/>
            </w:rPr>
            <w:fldChar w:fldCharType="separate"/>
          </w:r>
          <w:hyperlink w:anchor="_Toc43130657" w:history="1">
            <w:r w:rsidR="00E14EDC" w:rsidRPr="00E14EDC">
              <w:rPr>
                <w:rStyle w:val="Hyperlink"/>
                <w:rFonts w:ascii="Garamond" w:hAnsi="Garamond"/>
                <w:lang w:val="es-ES"/>
              </w:rPr>
              <w:t>Acronyms</w:t>
            </w:r>
            <w:r w:rsidR="00E14EDC">
              <w:rPr>
                <w:rStyle w:val="Hyperlink"/>
                <w:rFonts w:ascii="Garamond" w:hAnsi="Garamond"/>
                <w:lang w:val="es-ES"/>
              </w:rPr>
              <w:t>…..</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_Toc43130657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vii</w:t>
            </w:r>
            <w:r w:rsidR="00E14EDC" w:rsidRPr="00E14EDC">
              <w:rPr>
                <w:rFonts w:ascii="Garamond" w:hAnsi="Garamond"/>
                <w:webHidden/>
              </w:rPr>
              <w:fldChar w:fldCharType="end"/>
            </w:r>
          </w:hyperlink>
        </w:p>
        <w:p w14:paraId="02F33A55" w14:textId="127243A8" w:rsidR="00E14EDC" w:rsidRPr="00E14EDC" w:rsidRDefault="0006123B">
          <w:pPr>
            <w:pStyle w:val="TOC1"/>
            <w:rPr>
              <w:rFonts w:ascii="Garamond" w:eastAsiaTheme="minorEastAsia" w:hAnsi="Garamond" w:cs="Mangal"/>
              <w:b w:val="0"/>
              <w:bCs w:val="0"/>
              <w:szCs w:val="20"/>
              <w:lang w:bidi="hi-IN"/>
            </w:rPr>
          </w:pPr>
          <w:hyperlink w:anchor="_Toc43130658" w:history="1">
            <w:r w:rsidR="00E14EDC" w:rsidRPr="00E14EDC">
              <w:rPr>
                <w:rStyle w:val="Hyperlink"/>
                <w:rFonts w:ascii="Garamond" w:hAnsi="Garamond"/>
              </w:rPr>
              <w:t>Executive Summary</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_Toc43130658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ix</w:t>
            </w:r>
            <w:r w:rsidR="00E14EDC" w:rsidRPr="00E14EDC">
              <w:rPr>
                <w:rFonts w:ascii="Garamond" w:hAnsi="Garamond"/>
                <w:webHidden/>
              </w:rPr>
              <w:fldChar w:fldCharType="end"/>
            </w:r>
          </w:hyperlink>
        </w:p>
        <w:p w14:paraId="481174F1" w14:textId="47CF0351" w:rsidR="00E14EDC" w:rsidRPr="00E14EDC" w:rsidRDefault="0006123B">
          <w:pPr>
            <w:pStyle w:val="TOC1"/>
            <w:rPr>
              <w:rFonts w:ascii="Garamond" w:eastAsiaTheme="minorEastAsia" w:hAnsi="Garamond" w:cs="Mangal"/>
              <w:b w:val="0"/>
              <w:bCs w:val="0"/>
              <w:szCs w:val="20"/>
              <w:lang w:bidi="hi-IN"/>
            </w:rPr>
          </w:pPr>
          <w:hyperlink w:anchor="_Toc43130659" w:history="1">
            <w:r w:rsidR="00E14EDC" w:rsidRPr="00E14EDC">
              <w:rPr>
                <w:rStyle w:val="Hyperlink"/>
                <w:rFonts w:ascii="Garamond" w:hAnsi="Garamond" w:cs="Arial"/>
              </w:rPr>
              <w:t>1.</w:t>
            </w:r>
            <w:r w:rsidR="00E14EDC" w:rsidRPr="00E14EDC">
              <w:rPr>
                <w:rFonts w:ascii="Garamond" w:eastAsiaTheme="minorEastAsia" w:hAnsi="Garamond" w:cs="Mangal"/>
                <w:b w:val="0"/>
                <w:bCs w:val="0"/>
                <w:szCs w:val="20"/>
                <w:lang w:bidi="hi-IN"/>
              </w:rPr>
              <w:tab/>
            </w:r>
            <w:r w:rsidR="00E14EDC" w:rsidRPr="00E14EDC">
              <w:rPr>
                <w:rStyle w:val="Hyperlink"/>
                <w:rFonts w:ascii="Garamond" w:hAnsi="Garamond"/>
              </w:rPr>
              <w:t>Rationale</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_Toc43130659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11</w:t>
            </w:r>
            <w:r w:rsidR="00E14EDC" w:rsidRPr="00E14EDC">
              <w:rPr>
                <w:rFonts w:ascii="Garamond" w:hAnsi="Garamond"/>
                <w:webHidden/>
              </w:rPr>
              <w:fldChar w:fldCharType="end"/>
            </w:r>
          </w:hyperlink>
        </w:p>
        <w:p w14:paraId="60C025E1" w14:textId="5FC6FD87" w:rsidR="00E14EDC" w:rsidRPr="00E14EDC" w:rsidRDefault="0006123B">
          <w:pPr>
            <w:pStyle w:val="TOC2"/>
            <w:rPr>
              <w:rFonts w:ascii="Garamond" w:eastAsiaTheme="minorEastAsia" w:hAnsi="Garamond" w:cs="Mangal"/>
              <w:szCs w:val="20"/>
              <w:lang w:bidi="hi-IN"/>
            </w:rPr>
          </w:pPr>
          <w:hyperlink w:anchor="_Toc43130660" w:history="1">
            <w:r w:rsidR="00E14EDC" w:rsidRPr="00E14EDC">
              <w:rPr>
                <w:rStyle w:val="Hyperlink"/>
                <w:rFonts w:ascii="Garamond" w:hAnsi="Garamond" w:cs="Arial"/>
                <w:bCs/>
              </w:rPr>
              <w:t>1.1</w:t>
            </w:r>
            <w:r w:rsidR="00E14EDC" w:rsidRPr="00E14EDC">
              <w:rPr>
                <w:rFonts w:ascii="Garamond" w:eastAsiaTheme="minorEastAsia" w:hAnsi="Garamond" w:cs="Mangal"/>
                <w:szCs w:val="20"/>
                <w:lang w:bidi="hi-IN"/>
              </w:rPr>
              <w:tab/>
            </w:r>
            <w:r w:rsidR="00E14EDC" w:rsidRPr="00E14EDC">
              <w:rPr>
                <w:rStyle w:val="Hyperlink"/>
                <w:rFonts w:ascii="Garamond" w:hAnsi="Garamond"/>
              </w:rPr>
              <w:t>Malaria Burden</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_Toc43130660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11</w:t>
            </w:r>
            <w:r w:rsidR="00E14EDC" w:rsidRPr="00E14EDC">
              <w:rPr>
                <w:rFonts w:ascii="Garamond" w:hAnsi="Garamond"/>
                <w:webHidden/>
              </w:rPr>
              <w:fldChar w:fldCharType="end"/>
            </w:r>
          </w:hyperlink>
        </w:p>
        <w:p w14:paraId="467A21E6" w14:textId="6977B83C" w:rsidR="00E14EDC" w:rsidRPr="00E14EDC" w:rsidRDefault="0006123B">
          <w:pPr>
            <w:pStyle w:val="TOC2"/>
            <w:rPr>
              <w:rFonts w:ascii="Garamond" w:eastAsiaTheme="minorEastAsia" w:hAnsi="Garamond" w:cs="Mangal"/>
              <w:szCs w:val="20"/>
              <w:lang w:bidi="hi-IN"/>
            </w:rPr>
          </w:pPr>
          <w:hyperlink w:anchor="_Toc43130661" w:history="1">
            <w:r w:rsidR="00E14EDC" w:rsidRPr="00E14EDC">
              <w:rPr>
                <w:rStyle w:val="Hyperlink"/>
                <w:rFonts w:ascii="Garamond" w:hAnsi="Garamond" w:cs="Arial"/>
                <w:bCs/>
              </w:rPr>
              <w:t>1.2</w:t>
            </w:r>
            <w:r w:rsidR="00E14EDC" w:rsidRPr="00E14EDC">
              <w:rPr>
                <w:rFonts w:ascii="Garamond" w:eastAsiaTheme="minorEastAsia" w:hAnsi="Garamond" w:cs="Mangal"/>
                <w:szCs w:val="20"/>
                <w:lang w:bidi="hi-IN"/>
              </w:rPr>
              <w:tab/>
            </w:r>
            <w:r w:rsidR="00E14EDC" w:rsidRPr="00E14EDC">
              <w:rPr>
                <w:rStyle w:val="Hyperlink"/>
                <w:rFonts w:ascii="Garamond" w:hAnsi="Garamond"/>
              </w:rPr>
              <w:t>ITN Coverage and Use</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_Toc43130661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11</w:t>
            </w:r>
            <w:r w:rsidR="00E14EDC" w:rsidRPr="00E14EDC">
              <w:rPr>
                <w:rFonts w:ascii="Garamond" w:hAnsi="Garamond"/>
                <w:webHidden/>
              </w:rPr>
              <w:fldChar w:fldCharType="end"/>
            </w:r>
          </w:hyperlink>
        </w:p>
        <w:p w14:paraId="56734361" w14:textId="39C87261" w:rsidR="00E14EDC" w:rsidRPr="00E14EDC" w:rsidRDefault="0006123B">
          <w:pPr>
            <w:pStyle w:val="TOC2"/>
            <w:rPr>
              <w:rFonts w:ascii="Garamond" w:eastAsiaTheme="minorEastAsia" w:hAnsi="Garamond" w:cs="Mangal"/>
              <w:szCs w:val="20"/>
              <w:lang w:bidi="hi-IN"/>
            </w:rPr>
          </w:pPr>
          <w:hyperlink w:anchor="_Toc43130662" w:history="1">
            <w:r w:rsidR="00E14EDC" w:rsidRPr="00E14EDC">
              <w:rPr>
                <w:rStyle w:val="Hyperlink"/>
                <w:rFonts w:ascii="Garamond" w:hAnsi="Garamond" w:cs="Arial"/>
                <w:bCs/>
              </w:rPr>
              <w:t>1.3</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Purpose and Objectives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_Toc43130662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11</w:t>
            </w:r>
            <w:r w:rsidR="00E14EDC" w:rsidRPr="00E14EDC">
              <w:rPr>
                <w:rFonts w:ascii="Garamond" w:hAnsi="Garamond"/>
                <w:webHidden/>
              </w:rPr>
              <w:fldChar w:fldCharType="end"/>
            </w:r>
          </w:hyperlink>
        </w:p>
        <w:p w14:paraId="1EECBD60" w14:textId="43B3A266" w:rsidR="00E14EDC" w:rsidRPr="00E14EDC" w:rsidRDefault="0006123B">
          <w:pPr>
            <w:pStyle w:val="TOC2"/>
            <w:rPr>
              <w:rFonts w:ascii="Garamond" w:eastAsiaTheme="minorEastAsia" w:hAnsi="Garamond" w:cs="Mangal"/>
              <w:szCs w:val="20"/>
              <w:lang w:bidi="hi-IN"/>
            </w:rPr>
          </w:pPr>
          <w:hyperlink w:anchor="_Toc43130663" w:history="1">
            <w:r w:rsidR="00E14EDC" w:rsidRPr="00E14EDC">
              <w:rPr>
                <w:rStyle w:val="Hyperlink"/>
                <w:rFonts w:ascii="Garamond" w:hAnsi="Garamond" w:cs="Arial"/>
                <w:bCs/>
              </w:rPr>
              <w:t>1.4</w:t>
            </w:r>
            <w:r w:rsidR="00E14EDC" w:rsidRPr="00E14EDC">
              <w:rPr>
                <w:rFonts w:ascii="Garamond" w:eastAsiaTheme="minorEastAsia" w:hAnsi="Garamond" w:cs="Mangal"/>
                <w:szCs w:val="20"/>
                <w:lang w:bidi="hi-IN"/>
              </w:rPr>
              <w:tab/>
            </w:r>
            <w:r w:rsidR="00E14EDC" w:rsidRPr="00E14EDC">
              <w:rPr>
                <w:rStyle w:val="Hyperlink"/>
                <w:rFonts w:ascii="Garamond" w:hAnsi="Garamond"/>
              </w:rPr>
              <w:t>Toolkit Purpose and Objectives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_Toc43130663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12</w:t>
            </w:r>
            <w:r w:rsidR="00E14EDC" w:rsidRPr="00E14EDC">
              <w:rPr>
                <w:rFonts w:ascii="Garamond" w:hAnsi="Garamond"/>
                <w:webHidden/>
              </w:rPr>
              <w:fldChar w:fldCharType="end"/>
            </w:r>
          </w:hyperlink>
        </w:p>
        <w:p w14:paraId="7B29DD3E" w14:textId="0E698674" w:rsidR="00E14EDC" w:rsidRPr="00E14EDC" w:rsidRDefault="0006123B">
          <w:pPr>
            <w:pStyle w:val="TOC1"/>
            <w:rPr>
              <w:rFonts w:ascii="Garamond" w:eastAsiaTheme="minorEastAsia" w:hAnsi="Garamond" w:cs="Mangal"/>
              <w:b w:val="0"/>
              <w:bCs w:val="0"/>
              <w:szCs w:val="20"/>
              <w:lang w:bidi="hi-IN"/>
            </w:rPr>
          </w:pPr>
          <w:hyperlink w:anchor="_Toc43130664" w:history="1">
            <w:r w:rsidR="00E14EDC" w:rsidRPr="00E14EDC">
              <w:rPr>
                <w:rStyle w:val="Hyperlink"/>
                <w:rFonts w:ascii="Garamond" w:hAnsi="Garamond" w:cs="Arial"/>
              </w:rPr>
              <w:t>2.</w:t>
            </w:r>
            <w:r w:rsidR="00E14EDC" w:rsidRPr="00E14EDC">
              <w:rPr>
                <w:rFonts w:ascii="Garamond" w:eastAsiaTheme="minorEastAsia" w:hAnsi="Garamond" w:cs="Mangal"/>
                <w:b w:val="0"/>
                <w:bCs w:val="0"/>
                <w:szCs w:val="20"/>
                <w:lang w:bidi="hi-IN"/>
              </w:rPr>
              <w:tab/>
            </w:r>
            <w:r w:rsidR="00E14EDC" w:rsidRPr="00E14EDC">
              <w:rPr>
                <w:rStyle w:val="Hyperlink"/>
                <w:rFonts w:ascii="Garamond" w:hAnsi="Garamond"/>
              </w:rPr>
              <w:t>Methods and Materials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_Toc43130664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13</w:t>
            </w:r>
            <w:r w:rsidR="00E14EDC" w:rsidRPr="00E14EDC">
              <w:rPr>
                <w:rFonts w:ascii="Garamond" w:hAnsi="Garamond"/>
                <w:webHidden/>
              </w:rPr>
              <w:fldChar w:fldCharType="end"/>
            </w:r>
          </w:hyperlink>
        </w:p>
        <w:p w14:paraId="10199DC5" w14:textId="61F209F4" w:rsidR="00E14EDC" w:rsidRPr="00E14EDC" w:rsidRDefault="0006123B">
          <w:pPr>
            <w:pStyle w:val="TOC2"/>
            <w:rPr>
              <w:rFonts w:ascii="Garamond" w:eastAsiaTheme="minorEastAsia" w:hAnsi="Garamond" w:cs="Mangal"/>
              <w:szCs w:val="20"/>
              <w:lang w:bidi="hi-IN"/>
            </w:rPr>
          </w:pPr>
          <w:hyperlink w:anchor="_Toc43130665" w:history="1">
            <w:r w:rsidR="00E14EDC" w:rsidRPr="00E14EDC">
              <w:rPr>
                <w:rStyle w:val="Hyperlink"/>
                <w:rFonts w:ascii="Garamond" w:hAnsi="Garamond" w:cs="Arial"/>
                <w:bCs/>
              </w:rPr>
              <w:t>2.1</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Questions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_Toc43130665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13</w:t>
            </w:r>
            <w:r w:rsidR="00E14EDC" w:rsidRPr="00E14EDC">
              <w:rPr>
                <w:rFonts w:ascii="Garamond" w:hAnsi="Garamond"/>
                <w:webHidden/>
              </w:rPr>
              <w:fldChar w:fldCharType="end"/>
            </w:r>
          </w:hyperlink>
        </w:p>
        <w:p w14:paraId="41C646FD" w14:textId="0C9F2549" w:rsidR="00E14EDC" w:rsidRPr="00E14EDC" w:rsidRDefault="0006123B">
          <w:pPr>
            <w:pStyle w:val="TOC2"/>
            <w:rPr>
              <w:rFonts w:ascii="Garamond" w:eastAsiaTheme="minorEastAsia" w:hAnsi="Garamond" w:cs="Mangal"/>
              <w:szCs w:val="20"/>
              <w:lang w:bidi="hi-IN"/>
            </w:rPr>
          </w:pPr>
          <w:hyperlink w:anchor="_Toc43130666" w:history="1">
            <w:r w:rsidR="00E14EDC" w:rsidRPr="00E14EDC">
              <w:rPr>
                <w:rStyle w:val="Hyperlink"/>
                <w:rFonts w:ascii="Garamond" w:hAnsi="Garamond" w:cs="Arial"/>
                <w:bCs/>
              </w:rPr>
              <w:t>2.2</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Design</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_Toc43130666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13</w:t>
            </w:r>
            <w:r w:rsidR="00E14EDC" w:rsidRPr="00E14EDC">
              <w:rPr>
                <w:rFonts w:ascii="Garamond" w:hAnsi="Garamond"/>
                <w:webHidden/>
              </w:rPr>
              <w:fldChar w:fldCharType="end"/>
            </w:r>
          </w:hyperlink>
        </w:p>
        <w:p w14:paraId="6E9E2921" w14:textId="7F130C20" w:rsidR="00E14EDC" w:rsidRPr="00E14EDC" w:rsidRDefault="0006123B">
          <w:pPr>
            <w:pStyle w:val="TOC3"/>
            <w:rPr>
              <w:rFonts w:ascii="Garamond" w:eastAsiaTheme="minorEastAsia" w:hAnsi="Garamond" w:cs="Mangal"/>
              <w:szCs w:val="20"/>
              <w:lang w:bidi="hi-IN"/>
            </w:rPr>
          </w:pPr>
          <w:hyperlink w:anchor="_Toc43130667" w:history="1">
            <w:r w:rsidR="00E14EDC" w:rsidRPr="00E14EDC">
              <w:rPr>
                <w:rStyle w:val="Hyperlink"/>
                <w:rFonts w:ascii="Garamond" w:hAnsi="Garamond" w:cstheme="minorBidi"/>
                <w:bCs/>
                <w:lang w:val="en"/>
              </w:rPr>
              <w:t>2.2.1</w:t>
            </w:r>
            <w:r w:rsidR="00E14EDC" w:rsidRPr="00E14EDC">
              <w:rPr>
                <w:rFonts w:ascii="Garamond" w:eastAsiaTheme="minorEastAsia" w:hAnsi="Garamond" w:cs="Mangal"/>
                <w:szCs w:val="20"/>
                <w:lang w:bidi="hi-IN"/>
              </w:rPr>
              <w:tab/>
            </w:r>
            <w:r w:rsidR="00E14EDC" w:rsidRPr="00E14EDC">
              <w:rPr>
                <w:rStyle w:val="Hyperlink"/>
                <w:rFonts w:ascii="Garamond" w:hAnsi="Garamond"/>
                <w:lang w:val="en"/>
              </w:rPr>
              <w:t>Assessment Tools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_Toc43130667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13</w:t>
            </w:r>
            <w:r w:rsidR="00E14EDC" w:rsidRPr="00E14EDC">
              <w:rPr>
                <w:rFonts w:ascii="Garamond" w:hAnsi="Garamond"/>
                <w:webHidden/>
              </w:rPr>
              <w:fldChar w:fldCharType="end"/>
            </w:r>
          </w:hyperlink>
        </w:p>
        <w:p w14:paraId="449CD34B" w14:textId="50069F57" w:rsidR="00E14EDC" w:rsidRPr="00E14EDC" w:rsidRDefault="0006123B">
          <w:pPr>
            <w:pStyle w:val="TOC2"/>
            <w:rPr>
              <w:rFonts w:ascii="Garamond" w:eastAsiaTheme="minorEastAsia" w:hAnsi="Garamond" w:cs="Mangal"/>
              <w:szCs w:val="20"/>
              <w:lang w:bidi="hi-IN"/>
            </w:rPr>
          </w:pPr>
          <w:hyperlink w:anchor="_Toc43130668" w:history="1">
            <w:r w:rsidR="00E14EDC" w:rsidRPr="00E14EDC">
              <w:rPr>
                <w:rStyle w:val="Hyperlink"/>
                <w:rFonts w:ascii="Garamond" w:hAnsi="Garamond" w:cs="Arial"/>
                <w:bCs/>
              </w:rPr>
              <w:t>2.3</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Planning</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_Toc43130668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14</w:t>
            </w:r>
            <w:r w:rsidR="00E14EDC" w:rsidRPr="00E14EDC">
              <w:rPr>
                <w:rFonts w:ascii="Garamond" w:hAnsi="Garamond"/>
                <w:webHidden/>
              </w:rPr>
              <w:fldChar w:fldCharType="end"/>
            </w:r>
          </w:hyperlink>
        </w:p>
        <w:p w14:paraId="4F62CB46" w14:textId="6DEE147F" w:rsidR="00E14EDC" w:rsidRPr="00E14EDC" w:rsidRDefault="0006123B">
          <w:pPr>
            <w:pStyle w:val="TOC3"/>
            <w:rPr>
              <w:rFonts w:ascii="Garamond" w:eastAsiaTheme="minorEastAsia" w:hAnsi="Garamond" w:cs="Mangal"/>
              <w:szCs w:val="20"/>
              <w:lang w:bidi="hi-IN"/>
            </w:rPr>
          </w:pPr>
          <w:hyperlink w:anchor="_Toc43130669" w:history="1">
            <w:r w:rsidR="00E14EDC" w:rsidRPr="00E14EDC">
              <w:rPr>
                <w:rStyle w:val="Hyperlink"/>
                <w:rFonts w:ascii="Garamond" w:hAnsi="Garamond" w:cstheme="minorBidi"/>
                <w:bCs/>
              </w:rPr>
              <w:t>2.3.1</w:t>
            </w:r>
            <w:r w:rsidR="00E14EDC" w:rsidRPr="00E14EDC">
              <w:rPr>
                <w:rFonts w:ascii="Garamond" w:eastAsiaTheme="minorEastAsia" w:hAnsi="Garamond" w:cs="Mangal"/>
                <w:szCs w:val="20"/>
                <w:lang w:bidi="hi-IN"/>
              </w:rPr>
              <w:tab/>
            </w:r>
            <w:r w:rsidR="00E14EDC" w:rsidRPr="00E14EDC">
              <w:rPr>
                <w:rStyle w:val="Hyperlink"/>
                <w:rFonts w:ascii="Garamond" w:hAnsi="Garamond"/>
              </w:rPr>
              <w:t>Step One: Coordinate</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_Toc43130669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14</w:t>
            </w:r>
            <w:r w:rsidR="00E14EDC" w:rsidRPr="00E14EDC">
              <w:rPr>
                <w:rFonts w:ascii="Garamond" w:hAnsi="Garamond"/>
                <w:webHidden/>
              </w:rPr>
              <w:fldChar w:fldCharType="end"/>
            </w:r>
          </w:hyperlink>
        </w:p>
        <w:p w14:paraId="1C1D0CE8" w14:textId="63BB3ABB" w:rsidR="00E14EDC" w:rsidRPr="00E14EDC" w:rsidRDefault="0006123B">
          <w:pPr>
            <w:pStyle w:val="TOC3"/>
            <w:rPr>
              <w:rFonts w:ascii="Garamond" w:eastAsiaTheme="minorEastAsia" w:hAnsi="Garamond" w:cs="Mangal"/>
              <w:szCs w:val="20"/>
              <w:lang w:bidi="hi-IN"/>
            </w:rPr>
          </w:pPr>
          <w:hyperlink w:anchor="_Toc43130670" w:history="1">
            <w:r w:rsidR="00E14EDC" w:rsidRPr="00E14EDC">
              <w:rPr>
                <w:rStyle w:val="Hyperlink"/>
                <w:rFonts w:ascii="Garamond" w:hAnsi="Garamond" w:cstheme="minorBidi"/>
                <w:bCs/>
              </w:rPr>
              <w:t>2.3.2</w:t>
            </w:r>
            <w:r w:rsidR="00E14EDC" w:rsidRPr="00E14EDC">
              <w:rPr>
                <w:rFonts w:ascii="Garamond" w:eastAsiaTheme="minorEastAsia" w:hAnsi="Garamond" w:cs="Mangal"/>
                <w:szCs w:val="20"/>
                <w:lang w:bidi="hi-IN"/>
              </w:rPr>
              <w:tab/>
            </w:r>
            <w:r w:rsidR="00E14EDC" w:rsidRPr="00E14EDC">
              <w:rPr>
                <w:rStyle w:val="Hyperlink"/>
                <w:rFonts w:ascii="Garamond" w:hAnsi="Garamond"/>
              </w:rPr>
              <w:t>Step Two: Identify Assessment Team</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_Toc43130670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15</w:t>
            </w:r>
            <w:r w:rsidR="00E14EDC" w:rsidRPr="00E14EDC">
              <w:rPr>
                <w:rFonts w:ascii="Garamond" w:hAnsi="Garamond"/>
                <w:webHidden/>
              </w:rPr>
              <w:fldChar w:fldCharType="end"/>
            </w:r>
          </w:hyperlink>
        </w:p>
        <w:p w14:paraId="2184D6E8" w14:textId="04F144B9" w:rsidR="00E14EDC" w:rsidRPr="00E14EDC" w:rsidRDefault="0006123B">
          <w:pPr>
            <w:pStyle w:val="TOC3"/>
            <w:rPr>
              <w:rFonts w:ascii="Garamond" w:eastAsiaTheme="minorEastAsia" w:hAnsi="Garamond" w:cs="Mangal"/>
              <w:szCs w:val="20"/>
              <w:lang w:bidi="hi-IN"/>
            </w:rPr>
          </w:pPr>
          <w:hyperlink w:anchor="_Toc43130671" w:history="1">
            <w:r w:rsidR="00E14EDC" w:rsidRPr="00E14EDC">
              <w:rPr>
                <w:rStyle w:val="Hyperlink"/>
                <w:rFonts w:ascii="Garamond" w:hAnsi="Garamond" w:cstheme="minorBidi"/>
                <w:bCs/>
              </w:rPr>
              <w:t>2.3.3</w:t>
            </w:r>
            <w:r w:rsidR="00E14EDC" w:rsidRPr="00E14EDC">
              <w:rPr>
                <w:rFonts w:ascii="Garamond" w:eastAsiaTheme="minorEastAsia" w:hAnsi="Garamond" w:cs="Mangal"/>
                <w:szCs w:val="20"/>
                <w:lang w:bidi="hi-IN"/>
              </w:rPr>
              <w:tab/>
            </w:r>
            <w:r w:rsidR="00E14EDC" w:rsidRPr="00E14EDC">
              <w:rPr>
                <w:rStyle w:val="Hyperlink"/>
                <w:rFonts w:ascii="Garamond" w:hAnsi="Garamond"/>
              </w:rPr>
              <w:t>Step Three: Desk Review</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_Toc43130671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16</w:t>
            </w:r>
            <w:r w:rsidR="00E14EDC" w:rsidRPr="00E14EDC">
              <w:rPr>
                <w:rFonts w:ascii="Garamond" w:hAnsi="Garamond"/>
                <w:webHidden/>
              </w:rPr>
              <w:fldChar w:fldCharType="end"/>
            </w:r>
          </w:hyperlink>
        </w:p>
        <w:p w14:paraId="003545B9" w14:textId="2D87DD4A" w:rsidR="00E14EDC" w:rsidRPr="00E14EDC" w:rsidRDefault="0006123B">
          <w:pPr>
            <w:pStyle w:val="TOC3"/>
            <w:rPr>
              <w:rFonts w:ascii="Garamond" w:eastAsiaTheme="minorEastAsia" w:hAnsi="Garamond" w:cs="Mangal"/>
              <w:szCs w:val="20"/>
              <w:lang w:bidi="hi-IN"/>
            </w:rPr>
          </w:pPr>
          <w:hyperlink w:anchor="_Toc43130672" w:history="1">
            <w:r w:rsidR="00E14EDC" w:rsidRPr="00E14EDC">
              <w:rPr>
                <w:rStyle w:val="Hyperlink"/>
                <w:rFonts w:ascii="Garamond" w:hAnsi="Garamond" w:cstheme="minorBidi"/>
                <w:bCs/>
              </w:rPr>
              <w:t>2.3.4</w:t>
            </w:r>
            <w:r w:rsidR="00E14EDC" w:rsidRPr="00E14EDC">
              <w:rPr>
                <w:rFonts w:ascii="Garamond" w:eastAsiaTheme="minorEastAsia" w:hAnsi="Garamond" w:cs="Mangal"/>
                <w:szCs w:val="20"/>
                <w:lang w:bidi="hi-IN"/>
              </w:rPr>
              <w:tab/>
            </w:r>
            <w:r w:rsidR="00E14EDC" w:rsidRPr="00E14EDC">
              <w:rPr>
                <w:rStyle w:val="Hyperlink"/>
                <w:rFonts w:ascii="Garamond" w:hAnsi="Garamond"/>
              </w:rPr>
              <w:t>Step Four: Site Selection</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_Toc43130672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17</w:t>
            </w:r>
            <w:r w:rsidR="00E14EDC" w:rsidRPr="00E14EDC">
              <w:rPr>
                <w:rFonts w:ascii="Garamond" w:hAnsi="Garamond"/>
                <w:webHidden/>
              </w:rPr>
              <w:fldChar w:fldCharType="end"/>
            </w:r>
          </w:hyperlink>
        </w:p>
        <w:p w14:paraId="16C0699B" w14:textId="07B5E9BC" w:rsidR="00E14EDC" w:rsidRPr="00E14EDC" w:rsidRDefault="0006123B">
          <w:pPr>
            <w:pStyle w:val="TOC3"/>
            <w:rPr>
              <w:rFonts w:ascii="Garamond" w:eastAsiaTheme="minorEastAsia" w:hAnsi="Garamond" w:cs="Mangal"/>
              <w:szCs w:val="20"/>
              <w:lang w:bidi="hi-IN"/>
            </w:rPr>
          </w:pPr>
          <w:hyperlink w:anchor="_Toc43130673" w:history="1">
            <w:r w:rsidR="00E14EDC" w:rsidRPr="00E14EDC">
              <w:rPr>
                <w:rStyle w:val="Hyperlink"/>
                <w:rFonts w:ascii="Garamond" w:hAnsi="Garamond" w:cstheme="minorBidi"/>
                <w:bCs/>
              </w:rPr>
              <w:t>2.3.5</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Planning Tools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_Toc43130673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17</w:t>
            </w:r>
            <w:r w:rsidR="00E14EDC" w:rsidRPr="00E14EDC">
              <w:rPr>
                <w:rFonts w:ascii="Garamond" w:hAnsi="Garamond"/>
                <w:webHidden/>
              </w:rPr>
              <w:fldChar w:fldCharType="end"/>
            </w:r>
          </w:hyperlink>
        </w:p>
        <w:p w14:paraId="6EA016E8" w14:textId="16AA7EC1" w:rsidR="00E14EDC" w:rsidRPr="00E14EDC" w:rsidRDefault="0006123B">
          <w:pPr>
            <w:pStyle w:val="TOC2"/>
            <w:rPr>
              <w:rFonts w:ascii="Garamond" w:eastAsiaTheme="minorEastAsia" w:hAnsi="Garamond" w:cs="Mangal"/>
              <w:szCs w:val="20"/>
              <w:lang w:bidi="hi-IN"/>
            </w:rPr>
          </w:pPr>
          <w:hyperlink w:anchor="_Toc43130674" w:history="1">
            <w:r w:rsidR="00E14EDC" w:rsidRPr="00E14EDC">
              <w:rPr>
                <w:rStyle w:val="Hyperlink"/>
                <w:rFonts w:ascii="Garamond" w:hAnsi="Garamond" w:cs="Arial"/>
                <w:bCs/>
              </w:rPr>
              <w:t>2.4</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Implementation</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_Toc43130674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17</w:t>
            </w:r>
            <w:r w:rsidR="00E14EDC" w:rsidRPr="00E14EDC">
              <w:rPr>
                <w:rFonts w:ascii="Garamond" w:hAnsi="Garamond"/>
                <w:webHidden/>
              </w:rPr>
              <w:fldChar w:fldCharType="end"/>
            </w:r>
          </w:hyperlink>
        </w:p>
        <w:p w14:paraId="0E9BA1F3" w14:textId="4767F4FF" w:rsidR="00E14EDC" w:rsidRPr="00E14EDC" w:rsidRDefault="0006123B">
          <w:pPr>
            <w:pStyle w:val="TOC3"/>
            <w:rPr>
              <w:rFonts w:ascii="Garamond" w:eastAsiaTheme="minorEastAsia" w:hAnsi="Garamond" w:cs="Mangal"/>
              <w:szCs w:val="20"/>
              <w:lang w:bidi="hi-IN"/>
            </w:rPr>
          </w:pPr>
          <w:hyperlink w:anchor="_Toc43130675" w:history="1">
            <w:r w:rsidR="00E14EDC" w:rsidRPr="00E14EDC">
              <w:rPr>
                <w:rStyle w:val="Hyperlink"/>
                <w:rFonts w:ascii="Garamond" w:hAnsi="Garamond" w:cstheme="minorBidi"/>
                <w:bCs/>
              </w:rPr>
              <w:t>2.4.1</w:t>
            </w:r>
            <w:r w:rsidR="00E14EDC" w:rsidRPr="00E14EDC">
              <w:rPr>
                <w:rFonts w:ascii="Garamond" w:eastAsiaTheme="minorEastAsia" w:hAnsi="Garamond" w:cs="Mangal"/>
                <w:szCs w:val="20"/>
                <w:lang w:bidi="hi-IN"/>
              </w:rPr>
              <w:tab/>
            </w:r>
            <w:r w:rsidR="00E14EDC" w:rsidRPr="00E14EDC">
              <w:rPr>
                <w:rStyle w:val="Hyperlink"/>
                <w:rFonts w:ascii="Garamond" w:hAnsi="Garamond"/>
              </w:rPr>
              <w:t>Step Five: Conduct Stakeholder Meetings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_Toc43130675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17</w:t>
            </w:r>
            <w:r w:rsidR="00E14EDC" w:rsidRPr="00E14EDC">
              <w:rPr>
                <w:rFonts w:ascii="Garamond" w:hAnsi="Garamond"/>
                <w:webHidden/>
              </w:rPr>
              <w:fldChar w:fldCharType="end"/>
            </w:r>
          </w:hyperlink>
        </w:p>
        <w:p w14:paraId="03A0A0E7" w14:textId="6EF0F659" w:rsidR="00E14EDC" w:rsidRPr="00E14EDC" w:rsidRDefault="0006123B">
          <w:pPr>
            <w:pStyle w:val="TOC3"/>
            <w:rPr>
              <w:rFonts w:ascii="Garamond" w:eastAsiaTheme="minorEastAsia" w:hAnsi="Garamond" w:cs="Mangal"/>
              <w:szCs w:val="20"/>
              <w:lang w:bidi="hi-IN"/>
            </w:rPr>
          </w:pPr>
          <w:hyperlink w:anchor="_Toc43130676" w:history="1">
            <w:r w:rsidR="00E14EDC" w:rsidRPr="00E14EDC">
              <w:rPr>
                <w:rStyle w:val="Hyperlink"/>
                <w:rFonts w:ascii="Garamond" w:hAnsi="Garamond" w:cstheme="minorBidi"/>
                <w:bCs/>
              </w:rPr>
              <w:t>2.4.2</w:t>
            </w:r>
            <w:r w:rsidR="00E14EDC" w:rsidRPr="00E14EDC">
              <w:rPr>
                <w:rFonts w:ascii="Garamond" w:eastAsiaTheme="minorEastAsia" w:hAnsi="Garamond" w:cs="Mangal"/>
                <w:szCs w:val="20"/>
                <w:lang w:bidi="hi-IN"/>
              </w:rPr>
              <w:tab/>
            </w:r>
            <w:r w:rsidR="00E14EDC" w:rsidRPr="00E14EDC">
              <w:rPr>
                <w:rStyle w:val="Hyperlink"/>
                <w:rFonts w:ascii="Garamond" w:hAnsi="Garamond"/>
              </w:rPr>
              <w:t>Step Six: Conduct Key Informant Interviews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_Toc43130676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18</w:t>
            </w:r>
            <w:r w:rsidR="00E14EDC" w:rsidRPr="00E14EDC">
              <w:rPr>
                <w:rFonts w:ascii="Garamond" w:hAnsi="Garamond"/>
                <w:webHidden/>
              </w:rPr>
              <w:fldChar w:fldCharType="end"/>
            </w:r>
          </w:hyperlink>
        </w:p>
        <w:p w14:paraId="4449652E" w14:textId="1A9BA79C" w:rsidR="00E14EDC" w:rsidRPr="00E14EDC" w:rsidRDefault="0006123B">
          <w:pPr>
            <w:pStyle w:val="TOC3"/>
            <w:rPr>
              <w:rFonts w:ascii="Garamond" w:eastAsiaTheme="minorEastAsia" w:hAnsi="Garamond" w:cs="Mangal"/>
              <w:szCs w:val="20"/>
              <w:lang w:bidi="hi-IN"/>
            </w:rPr>
          </w:pPr>
          <w:hyperlink w:anchor="_Toc43130677" w:history="1">
            <w:r w:rsidR="00E14EDC" w:rsidRPr="00E14EDC">
              <w:rPr>
                <w:rStyle w:val="Hyperlink"/>
                <w:rFonts w:ascii="Garamond" w:hAnsi="Garamond" w:cstheme="minorBidi"/>
                <w:bCs/>
              </w:rPr>
              <w:t>2.4.3</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Implementation Tools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_Toc43130677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20</w:t>
            </w:r>
            <w:r w:rsidR="00E14EDC" w:rsidRPr="00E14EDC">
              <w:rPr>
                <w:rFonts w:ascii="Garamond" w:hAnsi="Garamond"/>
                <w:webHidden/>
              </w:rPr>
              <w:fldChar w:fldCharType="end"/>
            </w:r>
          </w:hyperlink>
        </w:p>
        <w:p w14:paraId="4EBB7671" w14:textId="282ECCD8" w:rsidR="00E14EDC" w:rsidRPr="00E14EDC" w:rsidRDefault="0006123B">
          <w:pPr>
            <w:pStyle w:val="TOC2"/>
            <w:rPr>
              <w:rFonts w:ascii="Garamond" w:eastAsiaTheme="minorEastAsia" w:hAnsi="Garamond" w:cs="Mangal"/>
              <w:szCs w:val="20"/>
              <w:lang w:bidi="hi-IN"/>
            </w:rPr>
          </w:pPr>
          <w:hyperlink w:anchor="_Toc43130678" w:history="1">
            <w:r w:rsidR="00E14EDC" w:rsidRPr="00E14EDC">
              <w:rPr>
                <w:rStyle w:val="Hyperlink"/>
                <w:rFonts w:ascii="Garamond" w:hAnsi="Garamond" w:cs="Arial"/>
                <w:bCs/>
              </w:rPr>
              <w:t>2.5</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Reporting</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_Toc43130678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20</w:t>
            </w:r>
            <w:r w:rsidR="00E14EDC" w:rsidRPr="00E14EDC">
              <w:rPr>
                <w:rFonts w:ascii="Garamond" w:hAnsi="Garamond"/>
                <w:webHidden/>
              </w:rPr>
              <w:fldChar w:fldCharType="end"/>
            </w:r>
          </w:hyperlink>
        </w:p>
        <w:p w14:paraId="08BBBA00" w14:textId="1431867F" w:rsidR="00E14EDC" w:rsidRPr="00E14EDC" w:rsidRDefault="0006123B">
          <w:pPr>
            <w:pStyle w:val="TOC3"/>
            <w:rPr>
              <w:rFonts w:ascii="Garamond" w:eastAsiaTheme="minorEastAsia" w:hAnsi="Garamond" w:cs="Mangal"/>
              <w:szCs w:val="20"/>
              <w:lang w:bidi="hi-IN"/>
            </w:rPr>
          </w:pPr>
          <w:hyperlink w:anchor="_Toc43130679" w:history="1">
            <w:r w:rsidR="00E14EDC" w:rsidRPr="00E14EDC">
              <w:rPr>
                <w:rStyle w:val="Hyperlink"/>
                <w:rFonts w:ascii="Garamond" w:hAnsi="Garamond" w:cstheme="minorBidi"/>
                <w:bCs/>
              </w:rPr>
              <w:t>2.5.1</w:t>
            </w:r>
            <w:r w:rsidR="00E14EDC" w:rsidRPr="00E14EDC">
              <w:rPr>
                <w:rFonts w:ascii="Garamond" w:eastAsiaTheme="minorEastAsia" w:hAnsi="Garamond" w:cs="Mangal"/>
                <w:szCs w:val="20"/>
                <w:lang w:bidi="hi-IN"/>
              </w:rPr>
              <w:tab/>
            </w:r>
            <w:r w:rsidR="00E14EDC" w:rsidRPr="00E14EDC">
              <w:rPr>
                <w:rStyle w:val="Hyperlink"/>
                <w:rFonts w:ascii="Garamond" w:hAnsi="Garamond"/>
              </w:rPr>
              <w:t>Step Seven: Synthesize Observations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_Toc43130679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20</w:t>
            </w:r>
            <w:r w:rsidR="00E14EDC" w:rsidRPr="00E14EDC">
              <w:rPr>
                <w:rFonts w:ascii="Garamond" w:hAnsi="Garamond"/>
                <w:webHidden/>
              </w:rPr>
              <w:fldChar w:fldCharType="end"/>
            </w:r>
          </w:hyperlink>
        </w:p>
        <w:p w14:paraId="24DB4986" w14:textId="01363D78" w:rsidR="00E14EDC" w:rsidRPr="00E14EDC" w:rsidRDefault="0006123B">
          <w:pPr>
            <w:pStyle w:val="TOC3"/>
            <w:rPr>
              <w:rFonts w:ascii="Garamond" w:eastAsiaTheme="minorEastAsia" w:hAnsi="Garamond" w:cs="Mangal"/>
              <w:szCs w:val="20"/>
              <w:lang w:bidi="hi-IN"/>
            </w:rPr>
          </w:pPr>
          <w:hyperlink w:anchor="_Toc43130680" w:history="1">
            <w:r w:rsidR="00E14EDC" w:rsidRPr="00E14EDC">
              <w:rPr>
                <w:rStyle w:val="Hyperlink"/>
                <w:rFonts w:ascii="Garamond" w:hAnsi="Garamond" w:cstheme="minorBidi"/>
                <w:bCs/>
              </w:rPr>
              <w:t>2.5.2</w:t>
            </w:r>
            <w:r w:rsidR="00E14EDC" w:rsidRPr="00E14EDC">
              <w:rPr>
                <w:rFonts w:ascii="Garamond" w:eastAsiaTheme="minorEastAsia" w:hAnsi="Garamond" w:cs="Mangal"/>
                <w:szCs w:val="20"/>
                <w:lang w:bidi="hi-IN"/>
              </w:rPr>
              <w:tab/>
            </w:r>
            <w:r w:rsidR="00E14EDC" w:rsidRPr="00E14EDC">
              <w:rPr>
                <w:rStyle w:val="Hyperlink"/>
                <w:rFonts w:ascii="Garamond" w:hAnsi="Garamond"/>
              </w:rPr>
              <w:t>Step Eight: Review Observations and Identify Preliminary Recommendations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_Toc43130680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20</w:t>
            </w:r>
            <w:r w:rsidR="00E14EDC" w:rsidRPr="00E14EDC">
              <w:rPr>
                <w:rFonts w:ascii="Garamond" w:hAnsi="Garamond"/>
                <w:webHidden/>
              </w:rPr>
              <w:fldChar w:fldCharType="end"/>
            </w:r>
          </w:hyperlink>
        </w:p>
        <w:p w14:paraId="0BA06403" w14:textId="60AD8FD9" w:rsidR="00E14EDC" w:rsidRPr="00E14EDC" w:rsidRDefault="0006123B">
          <w:pPr>
            <w:pStyle w:val="TOC3"/>
            <w:rPr>
              <w:rFonts w:ascii="Garamond" w:eastAsiaTheme="minorEastAsia" w:hAnsi="Garamond" w:cs="Mangal"/>
              <w:szCs w:val="20"/>
              <w:lang w:bidi="hi-IN"/>
            </w:rPr>
          </w:pPr>
          <w:hyperlink w:anchor="_Toc43130681" w:history="1">
            <w:r w:rsidR="00E14EDC" w:rsidRPr="00E14EDC">
              <w:rPr>
                <w:rStyle w:val="Hyperlink"/>
                <w:rFonts w:ascii="Garamond" w:hAnsi="Garamond" w:cstheme="minorBidi"/>
                <w:bCs/>
              </w:rPr>
              <w:t>2.5.3</w:t>
            </w:r>
            <w:r w:rsidR="00E14EDC" w:rsidRPr="00E14EDC">
              <w:rPr>
                <w:rFonts w:ascii="Garamond" w:eastAsiaTheme="minorEastAsia" w:hAnsi="Garamond" w:cs="Mangal"/>
                <w:szCs w:val="20"/>
                <w:lang w:bidi="hi-IN"/>
              </w:rPr>
              <w:tab/>
            </w:r>
            <w:r w:rsidR="00E14EDC" w:rsidRPr="00E14EDC">
              <w:rPr>
                <w:rStyle w:val="Hyperlink"/>
                <w:rFonts w:ascii="Garamond" w:hAnsi="Garamond"/>
              </w:rPr>
              <w:t>Step Nine: Present Assessment Observations and Preliminary Recommendations to Stakeholders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_Toc43130681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20</w:t>
            </w:r>
            <w:r w:rsidR="00E14EDC" w:rsidRPr="00E14EDC">
              <w:rPr>
                <w:rFonts w:ascii="Garamond" w:hAnsi="Garamond"/>
                <w:webHidden/>
              </w:rPr>
              <w:fldChar w:fldCharType="end"/>
            </w:r>
          </w:hyperlink>
        </w:p>
        <w:p w14:paraId="232981C3" w14:textId="5B9B9839" w:rsidR="00E14EDC" w:rsidRPr="00E14EDC" w:rsidRDefault="0006123B">
          <w:pPr>
            <w:pStyle w:val="TOC3"/>
            <w:rPr>
              <w:rFonts w:ascii="Garamond" w:eastAsiaTheme="minorEastAsia" w:hAnsi="Garamond" w:cs="Mangal"/>
              <w:szCs w:val="20"/>
              <w:lang w:bidi="hi-IN"/>
            </w:rPr>
          </w:pPr>
          <w:hyperlink w:anchor="_Toc43130682" w:history="1">
            <w:r w:rsidR="00E14EDC" w:rsidRPr="00E14EDC">
              <w:rPr>
                <w:rStyle w:val="Hyperlink"/>
                <w:rFonts w:ascii="Garamond" w:hAnsi="Garamond" w:cstheme="minorBidi"/>
                <w:bCs/>
              </w:rPr>
              <w:t>2.5.4</w:t>
            </w:r>
            <w:r w:rsidR="00E14EDC" w:rsidRPr="00E14EDC">
              <w:rPr>
                <w:rFonts w:ascii="Garamond" w:eastAsiaTheme="minorEastAsia" w:hAnsi="Garamond" w:cs="Mangal"/>
                <w:szCs w:val="20"/>
                <w:lang w:bidi="hi-IN"/>
              </w:rPr>
              <w:tab/>
            </w:r>
            <w:r w:rsidR="00E14EDC" w:rsidRPr="00E14EDC">
              <w:rPr>
                <w:rStyle w:val="Hyperlink"/>
                <w:rFonts w:ascii="Garamond" w:hAnsi="Garamond"/>
              </w:rPr>
              <w:t>Step Ten: Reporting on and Implementing Assessment recommendations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_Toc43130682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21</w:t>
            </w:r>
            <w:r w:rsidR="00E14EDC" w:rsidRPr="00E14EDC">
              <w:rPr>
                <w:rFonts w:ascii="Garamond" w:hAnsi="Garamond"/>
                <w:webHidden/>
              </w:rPr>
              <w:fldChar w:fldCharType="end"/>
            </w:r>
          </w:hyperlink>
        </w:p>
        <w:p w14:paraId="0A63D1F0" w14:textId="6BED7225" w:rsidR="00E14EDC" w:rsidRPr="00E14EDC" w:rsidRDefault="0006123B">
          <w:pPr>
            <w:pStyle w:val="TOC3"/>
            <w:rPr>
              <w:rFonts w:ascii="Garamond" w:eastAsiaTheme="minorEastAsia" w:hAnsi="Garamond" w:cs="Mangal"/>
              <w:szCs w:val="20"/>
              <w:lang w:bidi="hi-IN"/>
            </w:rPr>
          </w:pPr>
          <w:hyperlink w:anchor="_Toc43130683" w:history="1">
            <w:r w:rsidR="00E14EDC" w:rsidRPr="00E14EDC">
              <w:rPr>
                <w:rStyle w:val="Hyperlink"/>
                <w:rFonts w:ascii="Garamond" w:hAnsi="Garamond" w:cstheme="minorBidi"/>
                <w:bCs/>
              </w:rPr>
              <w:t>2.5.5</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Reporting Tools</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_Toc43130683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21</w:t>
            </w:r>
            <w:r w:rsidR="00E14EDC" w:rsidRPr="00E14EDC">
              <w:rPr>
                <w:rFonts w:ascii="Garamond" w:hAnsi="Garamond"/>
                <w:webHidden/>
              </w:rPr>
              <w:fldChar w:fldCharType="end"/>
            </w:r>
          </w:hyperlink>
        </w:p>
        <w:p w14:paraId="32798B3A" w14:textId="74726827" w:rsidR="00E14EDC" w:rsidRPr="00E14EDC" w:rsidRDefault="0006123B">
          <w:pPr>
            <w:pStyle w:val="TOC1"/>
            <w:rPr>
              <w:rFonts w:ascii="Garamond" w:eastAsiaTheme="minorEastAsia" w:hAnsi="Garamond" w:cs="Mangal"/>
              <w:b w:val="0"/>
              <w:bCs w:val="0"/>
              <w:szCs w:val="20"/>
              <w:lang w:bidi="hi-IN"/>
            </w:rPr>
          </w:pPr>
          <w:hyperlink w:anchor="_Toc43130684" w:history="1">
            <w:r w:rsidR="00E14EDC" w:rsidRPr="00E14EDC">
              <w:rPr>
                <w:rStyle w:val="Hyperlink"/>
                <w:rFonts w:ascii="Garamond" w:hAnsi="Garamond" w:cs="Arial"/>
              </w:rPr>
              <w:t>3.</w:t>
            </w:r>
            <w:r w:rsidR="00E14EDC" w:rsidRPr="00E14EDC">
              <w:rPr>
                <w:rFonts w:ascii="Garamond" w:eastAsiaTheme="minorEastAsia" w:hAnsi="Garamond" w:cs="Mangal"/>
                <w:b w:val="0"/>
                <w:bCs w:val="0"/>
                <w:szCs w:val="20"/>
                <w:lang w:bidi="hi-IN"/>
              </w:rPr>
              <w:tab/>
            </w:r>
            <w:r w:rsidR="00E14EDC" w:rsidRPr="00E14EDC">
              <w:rPr>
                <w:rStyle w:val="Hyperlink"/>
                <w:rFonts w:ascii="Garamond" w:hAnsi="Garamond"/>
              </w:rPr>
              <w:t>Assessment Budget</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_Toc43130684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22</w:t>
            </w:r>
            <w:r w:rsidR="00E14EDC" w:rsidRPr="00E14EDC">
              <w:rPr>
                <w:rFonts w:ascii="Garamond" w:hAnsi="Garamond"/>
                <w:webHidden/>
              </w:rPr>
              <w:fldChar w:fldCharType="end"/>
            </w:r>
          </w:hyperlink>
        </w:p>
        <w:p w14:paraId="7BDEFBE5" w14:textId="2705C1E0" w:rsidR="00E14EDC" w:rsidRPr="00E14EDC" w:rsidRDefault="0006123B">
          <w:pPr>
            <w:pStyle w:val="TOC3"/>
            <w:rPr>
              <w:rFonts w:ascii="Garamond" w:eastAsiaTheme="minorEastAsia" w:hAnsi="Garamond" w:cs="Mangal"/>
              <w:szCs w:val="20"/>
              <w:lang w:bidi="hi-IN"/>
            </w:rPr>
          </w:pPr>
          <w:hyperlink w:anchor="_Toc43130685" w:history="1">
            <w:r w:rsidR="00E14EDC" w:rsidRPr="00E14EDC">
              <w:rPr>
                <w:rStyle w:val="Hyperlink"/>
                <w:rFonts w:ascii="Garamond" w:hAnsi="Garamond" w:cstheme="minorBidi"/>
                <w:bCs/>
              </w:rPr>
              <w:t>3.1.1</w:t>
            </w:r>
            <w:r w:rsidR="00E14EDC" w:rsidRPr="00E14EDC">
              <w:rPr>
                <w:rFonts w:ascii="Garamond" w:eastAsiaTheme="minorEastAsia" w:hAnsi="Garamond" w:cs="Mangal"/>
                <w:szCs w:val="20"/>
                <w:lang w:bidi="hi-IN"/>
              </w:rPr>
              <w:tab/>
            </w:r>
            <w:r w:rsidR="00E14EDC" w:rsidRPr="00E14EDC">
              <w:rPr>
                <w:rStyle w:val="Hyperlink"/>
                <w:rFonts w:ascii="Garamond" w:hAnsi="Garamond"/>
              </w:rPr>
              <w:t>Assessment Budget Tool</w:t>
            </w:r>
            <w:r w:rsidR="00E14EDC" w:rsidRPr="00E14EDC">
              <w:rPr>
                <w:rFonts w:ascii="Garamond" w:hAnsi="Garamond"/>
                <w:webHidden/>
              </w:rPr>
              <w:tab/>
            </w:r>
            <w:r w:rsidR="00E14EDC" w:rsidRPr="00E14EDC">
              <w:rPr>
                <w:rFonts w:ascii="Garamond" w:hAnsi="Garamond"/>
                <w:webHidden/>
              </w:rPr>
              <w:fldChar w:fldCharType="begin"/>
            </w:r>
            <w:r w:rsidR="00E14EDC" w:rsidRPr="00E14EDC">
              <w:rPr>
                <w:rFonts w:ascii="Garamond" w:hAnsi="Garamond"/>
                <w:webHidden/>
              </w:rPr>
              <w:instrText xml:space="preserve"> PAGEREF _Toc43130685 \h </w:instrText>
            </w:r>
            <w:r w:rsidR="00E14EDC" w:rsidRPr="00E14EDC">
              <w:rPr>
                <w:rFonts w:ascii="Garamond" w:hAnsi="Garamond"/>
                <w:webHidden/>
              </w:rPr>
            </w:r>
            <w:r w:rsidR="00E14EDC" w:rsidRPr="00E14EDC">
              <w:rPr>
                <w:rFonts w:ascii="Garamond" w:hAnsi="Garamond"/>
                <w:webHidden/>
              </w:rPr>
              <w:fldChar w:fldCharType="separate"/>
            </w:r>
            <w:r w:rsidR="00E14EDC" w:rsidRPr="00E14EDC">
              <w:rPr>
                <w:rFonts w:ascii="Garamond" w:hAnsi="Garamond"/>
                <w:webHidden/>
              </w:rPr>
              <w:t>22</w:t>
            </w:r>
            <w:r w:rsidR="00E14EDC" w:rsidRPr="00E14EDC">
              <w:rPr>
                <w:rFonts w:ascii="Garamond" w:hAnsi="Garamond"/>
                <w:webHidden/>
              </w:rPr>
              <w:fldChar w:fldCharType="end"/>
            </w:r>
          </w:hyperlink>
        </w:p>
        <w:p w14:paraId="6D0943A5" w14:textId="34727980" w:rsidR="005610E0" w:rsidRPr="00EA468F" w:rsidRDefault="00801CE2" w:rsidP="00EA468F">
          <w:pPr>
            <w:rPr>
              <w:b/>
              <w:bCs/>
            </w:rPr>
          </w:pPr>
          <w:r w:rsidRPr="008956CA">
            <w:rPr>
              <w:rFonts w:ascii="Garamond" w:hAnsi="Garamond"/>
              <w:b/>
              <w:bCs/>
              <w:noProof/>
              <w:sz w:val="22"/>
              <w:szCs w:val="22"/>
            </w:rPr>
            <w:fldChar w:fldCharType="end"/>
          </w:r>
        </w:p>
      </w:sdtContent>
    </w:sdt>
    <w:bookmarkStart w:id="2" w:name="_Toc420106742" w:displacedByCustomXml="prev"/>
    <w:p w14:paraId="115E6F99" w14:textId="77777777" w:rsidR="00EA468F" w:rsidRPr="007C7F4F" w:rsidRDefault="00EA468F" w:rsidP="00EA468F">
      <w:pPr>
        <w:pStyle w:val="Annex"/>
      </w:pPr>
      <w:r w:rsidRPr="007C7F4F">
        <w:t>List of Tables</w:t>
      </w:r>
    </w:p>
    <w:p w14:paraId="044990A7" w14:textId="5EF58D5B" w:rsidR="00EA468F" w:rsidRPr="007533E4" w:rsidRDefault="00EA468F">
      <w:pPr>
        <w:pStyle w:val="TableofFigures"/>
        <w:rPr>
          <w:rFonts w:ascii="Garamond" w:eastAsiaTheme="minorEastAsia" w:hAnsi="Garamond" w:cs="Mangal"/>
          <w:noProof/>
          <w:szCs w:val="22"/>
          <w:lang w:bidi="hi-IN"/>
        </w:rPr>
      </w:pPr>
      <w:r w:rsidRPr="007533E4">
        <w:rPr>
          <w:rFonts w:ascii="Garamond" w:hAnsi="Garamond"/>
          <w:b/>
          <w:szCs w:val="22"/>
        </w:rPr>
        <w:fldChar w:fldCharType="begin"/>
      </w:r>
      <w:r w:rsidRPr="007533E4">
        <w:rPr>
          <w:rFonts w:ascii="Garamond" w:hAnsi="Garamond"/>
          <w:b/>
          <w:szCs w:val="22"/>
        </w:rPr>
        <w:instrText xml:space="preserve"> TOC \h \z \t "Table Title" \c </w:instrText>
      </w:r>
      <w:r w:rsidRPr="007533E4">
        <w:rPr>
          <w:rFonts w:ascii="Garamond" w:hAnsi="Garamond"/>
          <w:b/>
          <w:szCs w:val="22"/>
        </w:rPr>
        <w:fldChar w:fldCharType="separate"/>
      </w:r>
      <w:hyperlink w:anchor="_Toc43120665" w:history="1">
        <w:r w:rsidRPr="007533E4">
          <w:rPr>
            <w:rStyle w:val="Hyperlink"/>
            <w:rFonts w:ascii="Garamond" w:hAnsi="Garamond"/>
            <w:noProof/>
            <w:szCs w:val="22"/>
          </w:rPr>
          <w:t>Table 1: Example, ITN Distribution Assessment Meetings Summary, Burkina Faso</w:t>
        </w:r>
        <w:r w:rsidRPr="007533E4">
          <w:rPr>
            <w:rFonts w:ascii="Garamond" w:hAnsi="Garamond"/>
            <w:noProof/>
            <w:webHidden/>
            <w:szCs w:val="22"/>
          </w:rPr>
          <w:tab/>
        </w:r>
        <w:r w:rsidRPr="007533E4">
          <w:rPr>
            <w:rFonts w:ascii="Garamond" w:hAnsi="Garamond"/>
            <w:noProof/>
            <w:webHidden/>
            <w:szCs w:val="22"/>
          </w:rPr>
          <w:fldChar w:fldCharType="begin"/>
        </w:r>
        <w:r w:rsidRPr="007533E4">
          <w:rPr>
            <w:rFonts w:ascii="Garamond" w:hAnsi="Garamond"/>
            <w:noProof/>
            <w:webHidden/>
            <w:szCs w:val="22"/>
          </w:rPr>
          <w:instrText xml:space="preserve"> PAGEREF _Toc43120665 \h </w:instrText>
        </w:r>
        <w:r w:rsidRPr="007533E4">
          <w:rPr>
            <w:rFonts w:ascii="Garamond" w:hAnsi="Garamond"/>
            <w:noProof/>
            <w:webHidden/>
            <w:szCs w:val="22"/>
          </w:rPr>
        </w:r>
        <w:r w:rsidRPr="007533E4">
          <w:rPr>
            <w:rFonts w:ascii="Garamond" w:hAnsi="Garamond"/>
            <w:noProof/>
            <w:webHidden/>
            <w:szCs w:val="22"/>
          </w:rPr>
          <w:fldChar w:fldCharType="separate"/>
        </w:r>
        <w:r w:rsidR="00E14EDC">
          <w:rPr>
            <w:rFonts w:ascii="Garamond" w:hAnsi="Garamond"/>
            <w:noProof/>
            <w:webHidden/>
            <w:szCs w:val="22"/>
          </w:rPr>
          <w:t>15</w:t>
        </w:r>
        <w:r w:rsidRPr="007533E4">
          <w:rPr>
            <w:rFonts w:ascii="Garamond" w:hAnsi="Garamond"/>
            <w:noProof/>
            <w:webHidden/>
            <w:szCs w:val="22"/>
          </w:rPr>
          <w:fldChar w:fldCharType="end"/>
        </w:r>
      </w:hyperlink>
    </w:p>
    <w:p w14:paraId="153F11DD" w14:textId="781A7B87" w:rsidR="00EA468F" w:rsidRPr="007533E4" w:rsidRDefault="0006123B">
      <w:pPr>
        <w:pStyle w:val="TableofFigures"/>
        <w:rPr>
          <w:rFonts w:ascii="Garamond" w:eastAsiaTheme="minorEastAsia" w:hAnsi="Garamond" w:cs="Mangal"/>
          <w:noProof/>
          <w:szCs w:val="22"/>
          <w:lang w:bidi="hi-IN"/>
        </w:rPr>
      </w:pPr>
      <w:hyperlink w:anchor="_Toc43120666" w:history="1">
        <w:r w:rsidR="00EA468F" w:rsidRPr="007533E4">
          <w:rPr>
            <w:rStyle w:val="Hyperlink"/>
            <w:rFonts w:ascii="Garamond" w:hAnsi="Garamond"/>
            <w:noProof/>
            <w:szCs w:val="22"/>
          </w:rPr>
          <w:t>Table 2: ITN Continuous Distribution Assessment Framework</w:t>
        </w:r>
        <w:r w:rsidR="00EA468F" w:rsidRPr="007533E4">
          <w:rPr>
            <w:rFonts w:ascii="Garamond" w:hAnsi="Garamond"/>
            <w:noProof/>
            <w:webHidden/>
            <w:szCs w:val="22"/>
          </w:rPr>
          <w:tab/>
        </w:r>
        <w:r w:rsidR="00EA468F" w:rsidRPr="007533E4">
          <w:rPr>
            <w:rFonts w:ascii="Garamond" w:hAnsi="Garamond"/>
            <w:noProof/>
            <w:webHidden/>
            <w:szCs w:val="22"/>
          </w:rPr>
          <w:fldChar w:fldCharType="begin"/>
        </w:r>
        <w:r w:rsidR="00EA468F" w:rsidRPr="007533E4">
          <w:rPr>
            <w:rFonts w:ascii="Garamond" w:hAnsi="Garamond"/>
            <w:noProof/>
            <w:webHidden/>
            <w:szCs w:val="22"/>
          </w:rPr>
          <w:instrText xml:space="preserve"> PAGEREF _Toc43120666 \h </w:instrText>
        </w:r>
        <w:r w:rsidR="00EA468F" w:rsidRPr="007533E4">
          <w:rPr>
            <w:rFonts w:ascii="Garamond" w:hAnsi="Garamond"/>
            <w:noProof/>
            <w:webHidden/>
            <w:szCs w:val="22"/>
          </w:rPr>
        </w:r>
        <w:r w:rsidR="00EA468F" w:rsidRPr="007533E4">
          <w:rPr>
            <w:rFonts w:ascii="Garamond" w:hAnsi="Garamond"/>
            <w:noProof/>
            <w:webHidden/>
            <w:szCs w:val="22"/>
          </w:rPr>
          <w:fldChar w:fldCharType="separate"/>
        </w:r>
        <w:r w:rsidR="00E14EDC">
          <w:rPr>
            <w:rFonts w:ascii="Garamond" w:hAnsi="Garamond"/>
            <w:noProof/>
            <w:webHidden/>
            <w:szCs w:val="22"/>
          </w:rPr>
          <w:t>18</w:t>
        </w:r>
        <w:r w:rsidR="00EA468F" w:rsidRPr="007533E4">
          <w:rPr>
            <w:rFonts w:ascii="Garamond" w:hAnsi="Garamond"/>
            <w:noProof/>
            <w:webHidden/>
            <w:szCs w:val="22"/>
          </w:rPr>
          <w:fldChar w:fldCharType="end"/>
        </w:r>
      </w:hyperlink>
    </w:p>
    <w:p w14:paraId="1AF1EFD3" w14:textId="2F9D11CB" w:rsidR="005610E0" w:rsidRPr="00FF39CB" w:rsidRDefault="00EA468F" w:rsidP="00EA468F">
      <w:pPr>
        <w:suppressLineNumbers/>
        <w:sectPr w:rsidR="005610E0" w:rsidRPr="00FF39CB" w:rsidSect="00415A82">
          <w:headerReference w:type="default" r:id="rId15"/>
          <w:footerReference w:type="default" r:id="rId16"/>
          <w:type w:val="oddPage"/>
          <w:pgSz w:w="12240" w:h="15840" w:code="1"/>
          <w:pgMar w:top="1440" w:right="1440" w:bottom="1296" w:left="1440" w:header="720" w:footer="720" w:gutter="0"/>
          <w:pgBorders w:offsetFrom="page">
            <w:bottom w:val="single" w:sz="2" w:space="24" w:color="002A6C"/>
          </w:pgBorders>
          <w:pgNumType w:fmt="lowerRoman" w:start="3"/>
          <w:cols w:space="360"/>
        </w:sectPr>
      </w:pPr>
      <w:r w:rsidRPr="007533E4">
        <w:rPr>
          <w:rFonts w:ascii="Garamond" w:hAnsi="Garamond"/>
          <w:sz w:val="22"/>
          <w:szCs w:val="22"/>
        </w:rPr>
        <w:fldChar w:fldCharType="end"/>
      </w:r>
    </w:p>
    <w:p w14:paraId="4FA55B7E" w14:textId="68FD7912" w:rsidR="007A2D84" w:rsidRPr="00F85A0A" w:rsidRDefault="007A2D84" w:rsidP="00226670">
      <w:pPr>
        <w:pStyle w:val="Heading1"/>
        <w:numPr>
          <w:ilvl w:val="0"/>
          <w:numId w:val="0"/>
        </w:numPr>
        <w:rPr>
          <w:snapToGrid/>
          <w:lang w:val="es-ES"/>
        </w:rPr>
      </w:pPr>
      <w:bookmarkStart w:id="3" w:name="_Toc522122488"/>
      <w:bookmarkStart w:id="4" w:name="_Toc525834764"/>
      <w:bookmarkStart w:id="5" w:name="_Toc525834973"/>
      <w:bookmarkStart w:id="6" w:name="_Toc43130657"/>
      <w:proofErr w:type="spellStart"/>
      <w:r w:rsidRPr="0016682F">
        <w:rPr>
          <w:lang w:val="es-ES"/>
        </w:rPr>
        <w:lastRenderedPageBreak/>
        <w:t>Acronyms</w:t>
      </w:r>
      <w:bookmarkEnd w:id="2"/>
      <w:bookmarkEnd w:id="3"/>
      <w:bookmarkEnd w:id="4"/>
      <w:bookmarkEnd w:id="5"/>
      <w:bookmarkEnd w:id="6"/>
      <w:proofErr w:type="spellEnd"/>
    </w:p>
    <w:tbl>
      <w:tblPr>
        <w:tblStyle w:val="TableGrid"/>
        <w:tblpPr w:leftFromText="180" w:rightFromText="180" w:vertAnchor="text" w:tblpY="1"/>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157"/>
      </w:tblGrid>
      <w:tr w:rsidR="00925BFD" w:rsidRPr="00947E41" w14:paraId="664601CD" w14:textId="77777777" w:rsidTr="009B1827">
        <w:tc>
          <w:tcPr>
            <w:tcW w:w="2203" w:type="dxa"/>
          </w:tcPr>
          <w:p w14:paraId="15B3D3C2" w14:textId="77777777" w:rsidR="00925BFD" w:rsidRPr="00D45F34" w:rsidRDefault="00925BFD" w:rsidP="00CB1889">
            <w:pPr>
              <w:pStyle w:val="Acronyms"/>
              <w:ind w:left="0"/>
              <w:rPr>
                <w:b/>
                <w:szCs w:val="22"/>
              </w:rPr>
            </w:pPr>
            <w:r w:rsidRPr="00D45F34">
              <w:rPr>
                <w:b/>
                <w:szCs w:val="22"/>
              </w:rPr>
              <w:t>AMP</w:t>
            </w:r>
          </w:p>
        </w:tc>
        <w:tc>
          <w:tcPr>
            <w:tcW w:w="7157" w:type="dxa"/>
          </w:tcPr>
          <w:p w14:paraId="2ECF6AEE" w14:textId="77777777" w:rsidR="00925BFD" w:rsidRPr="00D45F34" w:rsidRDefault="00925BFD" w:rsidP="00CB1889">
            <w:pPr>
              <w:pStyle w:val="Acronyms"/>
              <w:ind w:left="0"/>
              <w:rPr>
                <w:szCs w:val="22"/>
              </w:rPr>
            </w:pPr>
            <w:r w:rsidRPr="00D45F34">
              <w:rPr>
                <w:szCs w:val="22"/>
              </w:rPr>
              <w:t>Alliance for Malaria Prevention</w:t>
            </w:r>
          </w:p>
        </w:tc>
      </w:tr>
      <w:tr w:rsidR="00925BFD" w:rsidRPr="00947E41" w14:paraId="120BB6F1" w14:textId="77777777" w:rsidTr="009B1827">
        <w:tc>
          <w:tcPr>
            <w:tcW w:w="2203" w:type="dxa"/>
          </w:tcPr>
          <w:p w14:paraId="26C01168" w14:textId="77777777" w:rsidR="00925BFD" w:rsidRPr="00D45F34" w:rsidRDefault="00925BFD" w:rsidP="00CB1889">
            <w:pPr>
              <w:pStyle w:val="Acronyms"/>
              <w:ind w:left="0"/>
              <w:rPr>
                <w:b/>
                <w:szCs w:val="22"/>
              </w:rPr>
            </w:pPr>
            <w:r w:rsidRPr="00D45F34">
              <w:rPr>
                <w:b/>
                <w:szCs w:val="22"/>
              </w:rPr>
              <w:t>ANC</w:t>
            </w:r>
          </w:p>
        </w:tc>
        <w:tc>
          <w:tcPr>
            <w:tcW w:w="7157" w:type="dxa"/>
          </w:tcPr>
          <w:p w14:paraId="316886E4" w14:textId="18962249" w:rsidR="00925BFD" w:rsidRPr="00D45F34" w:rsidRDefault="00925BFD" w:rsidP="00CB1889">
            <w:pPr>
              <w:pStyle w:val="Acronyms"/>
              <w:ind w:left="0"/>
              <w:rPr>
                <w:szCs w:val="22"/>
              </w:rPr>
            </w:pPr>
            <w:r w:rsidRPr="00D45F34">
              <w:rPr>
                <w:szCs w:val="22"/>
              </w:rPr>
              <w:t>Antenatal Care</w:t>
            </w:r>
          </w:p>
        </w:tc>
      </w:tr>
      <w:tr w:rsidR="005B7C96" w:rsidRPr="005B7C96" w14:paraId="20D9A867" w14:textId="77777777" w:rsidTr="009B1827">
        <w:tc>
          <w:tcPr>
            <w:tcW w:w="2203" w:type="dxa"/>
          </w:tcPr>
          <w:p w14:paraId="1DD5FE54" w14:textId="43E04FE4" w:rsidR="005B7C96" w:rsidRPr="00D45F34" w:rsidRDefault="005B7C96" w:rsidP="005B7C96">
            <w:pPr>
              <w:pStyle w:val="Acronyms"/>
              <w:ind w:left="0"/>
              <w:rPr>
                <w:b/>
                <w:szCs w:val="22"/>
              </w:rPr>
            </w:pPr>
            <w:r w:rsidRPr="00D45F34">
              <w:rPr>
                <w:b/>
                <w:szCs w:val="22"/>
              </w:rPr>
              <w:t>CDC</w:t>
            </w:r>
          </w:p>
        </w:tc>
        <w:tc>
          <w:tcPr>
            <w:tcW w:w="7157" w:type="dxa"/>
          </w:tcPr>
          <w:p w14:paraId="358A9743" w14:textId="0F65C981" w:rsidR="005B7C96" w:rsidRPr="00D45F34" w:rsidRDefault="005B7C96" w:rsidP="005B7C96">
            <w:pPr>
              <w:pStyle w:val="Acronyms"/>
              <w:ind w:left="0"/>
              <w:rPr>
                <w:szCs w:val="22"/>
              </w:rPr>
            </w:pPr>
            <w:r w:rsidRPr="00D45F34">
              <w:rPr>
                <w:szCs w:val="22"/>
              </w:rPr>
              <w:t>United States Center for Disease Control and Prevention</w:t>
            </w:r>
          </w:p>
        </w:tc>
      </w:tr>
      <w:tr w:rsidR="005B7C96" w:rsidRPr="00947E41" w14:paraId="2C768124" w14:textId="77777777" w:rsidTr="009B1827">
        <w:tc>
          <w:tcPr>
            <w:tcW w:w="2203" w:type="dxa"/>
          </w:tcPr>
          <w:p w14:paraId="60061B0C" w14:textId="77777777" w:rsidR="005B7C96" w:rsidRPr="00572670" w:rsidRDefault="005B7C96" w:rsidP="005B7C96">
            <w:pPr>
              <w:pStyle w:val="Acronyms"/>
              <w:ind w:left="0"/>
              <w:rPr>
                <w:b/>
                <w:szCs w:val="22"/>
              </w:rPr>
            </w:pPr>
            <w:r w:rsidRPr="00D45F34">
              <w:rPr>
                <w:b/>
                <w:szCs w:val="22"/>
              </w:rPr>
              <w:t>CHW</w:t>
            </w:r>
          </w:p>
        </w:tc>
        <w:tc>
          <w:tcPr>
            <w:tcW w:w="7157" w:type="dxa"/>
          </w:tcPr>
          <w:p w14:paraId="65489484" w14:textId="77777777" w:rsidR="005B7C96" w:rsidRPr="00D45F34" w:rsidRDefault="005B7C96" w:rsidP="005B7C96">
            <w:pPr>
              <w:pStyle w:val="Acronyms"/>
              <w:ind w:left="0"/>
              <w:rPr>
                <w:szCs w:val="22"/>
                <w:lang w:val="fr-FR"/>
              </w:rPr>
            </w:pPr>
            <w:r w:rsidRPr="00572670">
              <w:rPr>
                <w:szCs w:val="22"/>
              </w:rPr>
              <w:t>Community</w:t>
            </w:r>
            <w:r w:rsidRPr="00D45F34">
              <w:rPr>
                <w:szCs w:val="22"/>
                <w:lang w:val="fr-FR"/>
              </w:rPr>
              <w:t xml:space="preserve"> </w:t>
            </w:r>
            <w:proofErr w:type="spellStart"/>
            <w:r w:rsidRPr="00D45F34">
              <w:rPr>
                <w:szCs w:val="22"/>
                <w:lang w:val="fr-FR"/>
              </w:rPr>
              <w:t>Health</w:t>
            </w:r>
            <w:proofErr w:type="spellEnd"/>
            <w:r w:rsidRPr="00D45F34">
              <w:rPr>
                <w:szCs w:val="22"/>
                <w:lang w:val="fr-FR"/>
              </w:rPr>
              <w:t xml:space="preserve"> </w:t>
            </w:r>
            <w:proofErr w:type="spellStart"/>
            <w:r w:rsidRPr="00D45F34">
              <w:rPr>
                <w:szCs w:val="22"/>
                <w:lang w:val="fr-FR"/>
              </w:rPr>
              <w:t>Worker</w:t>
            </w:r>
            <w:proofErr w:type="spellEnd"/>
          </w:p>
        </w:tc>
      </w:tr>
      <w:tr w:rsidR="00BC3DE1" w:rsidRPr="00947E41" w14:paraId="21F36847" w14:textId="77777777" w:rsidTr="009B1827">
        <w:tc>
          <w:tcPr>
            <w:tcW w:w="2203" w:type="dxa"/>
          </w:tcPr>
          <w:p w14:paraId="1BC06427" w14:textId="31D6FB2D" w:rsidR="00BC3DE1" w:rsidRPr="00D45F34" w:rsidRDefault="00BC3DE1" w:rsidP="00745185">
            <w:pPr>
              <w:pStyle w:val="Acronyms"/>
              <w:ind w:left="0"/>
              <w:rPr>
                <w:b/>
                <w:szCs w:val="22"/>
              </w:rPr>
            </w:pPr>
            <w:r>
              <w:rPr>
                <w:b/>
                <w:szCs w:val="22"/>
              </w:rPr>
              <w:t>DHIS</w:t>
            </w:r>
          </w:p>
        </w:tc>
        <w:tc>
          <w:tcPr>
            <w:tcW w:w="7157" w:type="dxa"/>
          </w:tcPr>
          <w:p w14:paraId="3ECEE351" w14:textId="4A76E776" w:rsidR="00BC3DE1" w:rsidRPr="00D45F34" w:rsidRDefault="00BC3DE1" w:rsidP="00745185">
            <w:pPr>
              <w:pStyle w:val="Acronyms"/>
              <w:ind w:left="0"/>
              <w:rPr>
                <w:szCs w:val="22"/>
              </w:rPr>
            </w:pPr>
            <w:r>
              <w:rPr>
                <w:szCs w:val="22"/>
              </w:rPr>
              <w:t>District Health Information System</w:t>
            </w:r>
          </w:p>
        </w:tc>
      </w:tr>
      <w:tr w:rsidR="00745185" w:rsidRPr="00947E41" w14:paraId="1AA5E661" w14:textId="77777777" w:rsidTr="009B1827">
        <w:tc>
          <w:tcPr>
            <w:tcW w:w="2203" w:type="dxa"/>
          </w:tcPr>
          <w:p w14:paraId="50907E67" w14:textId="77777777" w:rsidR="00745185" w:rsidRPr="00D45F34" w:rsidRDefault="00745185" w:rsidP="00745185">
            <w:pPr>
              <w:pStyle w:val="Acronyms"/>
              <w:ind w:left="0"/>
              <w:rPr>
                <w:b/>
                <w:szCs w:val="22"/>
              </w:rPr>
            </w:pPr>
            <w:r w:rsidRPr="00D45F34">
              <w:rPr>
                <w:b/>
                <w:szCs w:val="22"/>
              </w:rPr>
              <w:t>EPI</w:t>
            </w:r>
          </w:p>
        </w:tc>
        <w:tc>
          <w:tcPr>
            <w:tcW w:w="7157" w:type="dxa"/>
          </w:tcPr>
          <w:p w14:paraId="524E231D" w14:textId="77777777" w:rsidR="00745185" w:rsidRPr="00D45F34" w:rsidRDefault="00745185" w:rsidP="00745185">
            <w:pPr>
              <w:pStyle w:val="Acronyms"/>
              <w:ind w:left="0"/>
              <w:rPr>
                <w:szCs w:val="22"/>
              </w:rPr>
            </w:pPr>
            <w:r w:rsidRPr="00D45F34">
              <w:rPr>
                <w:szCs w:val="22"/>
              </w:rPr>
              <w:t>Expanded Program on Immunization</w:t>
            </w:r>
          </w:p>
        </w:tc>
      </w:tr>
      <w:tr w:rsidR="00745185" w:rsidRPr="00947E41" w14:paraId="3BEF9849" w14:textId="77777777" w:rsidTr="009B1827">
        <w:tc>
          <w:tcPr>
            <w:tcW w:w="2203" w:type="dxa"/>
          </w:tcPr>
          <w:p w14:paraId="3505BF70" w14:textId="10E8372C" w:rsidR="00745185" w:rsidRPr="00D45F34" w:rsidRDefault="00745185" w:rsidP="00745185">
            <w:pPr>
              <w:pStyle w:val="Acronyms"/>
              <w:ind w:left="0"/>
              <w:rPr>
                <w:b/>
                <w:szCs w:val="22"/>
                <w:lang w:val="fr-FR"/>
              </w:rPr>
            </w:pPr>
            <w:r w:rsidRPr="00D45F34">
              <w:rPr>
                <w:b/>
                <w:szCs w:val="22"/>
                <w:lang w:val="fr-FR"/>
              </w:rPr>
              <w:t>GHSC-PSM</w:t>
            </w:r>
          </w:p>
        </w:tc>
        <w:tc>
          <w:tcPr>
            <w:tcW w:w="7157" w:type="dxa"/>
          </w:tcPr>
          <w:p w14:paraId="388E08AD" w14:textId="2BF6D38D" w:rsidR="00745185" w:rsidRPr="00D45F34" w:rsidRDefault="00745185" w:rsidP="00745185">
            <w:pPr>
              <w:pStyle w:val="Acronyms"/>
              <w:ind w:left="0"/>
              <w:rPr>
                <w:iCs/>
                <w:szCs w:val="22"/>
              </w:rPr>
            </w:pPr>
            <w:r w:rsidRPr="00D45F34">
              <w:rPr>
                <w:rFonts w:eastAsiaTheme="minorHAnsi"/>
                <w:iCs/>
                <w:color w:val="000000" w:themeColor="text1"/>
                <w:szCs w:val="22"/>
                <w:lang w:val="en-GB"/>
              </w:rPr>
              <w:t>Global Health Supply Chain – Procurement Supply Management Project</w:t>
            </w:r>
          </w:p>
        </w:tc>
      </w:tr>
      <w:tr w:rsidR="00745185" w:rsidRPr="00947E41" w14:paraId="44B8DD42" w14:textId="77777777" w:rsidTr="009B1827">
        <w:tc>
          <w:tcPr>
            <w:tcW w:w="2203" w:type="dxa"/>
          </w:tcPr>
          <w:p w14:paraId="30311256" w14:textId="3285EC0D" w:rsidR="00745185" w:rsidRPr="00D45F34" w:rsidRDefault="00745185" w:rsidP="00745185">
            <w:pPr>
              <w:pStyle w:val="Acronyms"/>
              <w:ind w:left="0"/>
              <w:rPr>
                <w:b/>
                <w:szCs w:val="22"/>
              </w:rPr>
            </w:pPr>
            <w:r w:rsidRPr="00D45F34">
              <w:rPr>
                <w:b/>
                <w:szCs w:val="22"/>
              </w:rPr>
              <w:t>ITN</w:t>
            </w:r>
          </w:p>
        </w:tc>
        <w:tc>
          <w:tcPr>
            <w:tcW w:w="7157" w:type="dxa"/>
          </w:tcPr>
          <w:p w14:paraId="65994A00" w14:textId="0CED2CDC" w:rsidR="00745185" w:rsidRPr="00D45F34" w:rsidRDefault="00745185" w:rsidP="00745185">
            <w:pPr>
              <w:pStyle w:val="Acronyms"/>
              <w:ind w:left="0"/>
              <w:rPr>
                <w:szCs w:val="22"/>
              </w:rPr>
            </w:pPr>
            <w:r w:rsidRPr="00D45F34">
              <w:rPr>
                <w:szCs w:val="22"/>
              </w:rPr>
              <w:t>Insecticide-</w:t>
            </w:r>
            <w:r w:rsidR="00AC3518">
              <w:rPr>
                <w:szCs w:val="22"/>
              </w:rPr>
              <w:t>T</w:t>
            </w:r>
            <w:r w:rsidRPr="00D45F34">
              <w:rPr>
                <w:szCs w:val="22"/>
              </w:rPr>
              <w:t xml:space="preserve">reated </w:t>
            </w:r>
            <w:r w:rsidR="00AC3518">
              <w:rPr>
                <w:szCs w:val="22"/>
              </w:rPr>
              <w:t xml:space="preserve">mosquito </w:t>
            </w:r>
            <w:r w:rsidRPr="00D45F34">
              <w:rPr>
                <w:szCs w:val="22"/>
              </w:rPr>
              <w:t>Net</w:t>
            </w:r>
          </w:p>
        </w:tc>
      </w:tr>
      <w:tr w:rsidR="00DA1C87" w:rsidRPr="00947E41" w14:paraId="3B224967" w14:textId="77777777" w:rsidTr="009B1827">
        <w:tc>
          <w:tcPr>
            <w:tcW w:w="2203" w:type="dxa"/>
          </w:tcPr>
          <w:p w14:paraId="46162BDB" w14:textId="3ADAA3CF" w:rsidR="00DA1C87" w:rsidRPr="00D45F34" w:rsidRDefault="00DA1C87" w:rsidP="00745185">
            <w:pPr>
              <w:pStyle w:val="Acronyms"/>
              <w:ind w:left="0"/>
              <w:rPr>
                <w:b/>
                <w:szCs w:val="22"/>
              </w:rPr>
            </w:pPr>
            <w:r>
              <w:rPr>
                <w:b/>
                <w:szCs w:val="22"/>
              </w:rPr>
              <w:t>KII</w:t>
            </w:r>
          </w:p>
        </w:tc>
        <w:tc>
          <w:tcPr>
            <w:tcW w:w="7157" w:type="dxa"/>
          </w:tcPr>
          <w:p w14:paraId="5B9D430E" w14:textId="55CF8D8F" w:rsidR="00DA1C87" w:rsidRPr="00D45F34" w:rsidRDefault="00DA1C87" w:rsidP="00745185">
            <w:pPr>
              <w:pStyle w:val="Acronyms"/>
              <w:ind w:left="0"/>
              <w:rPr>
                <w:szCs w:val="22"/>
              </w:rPr>
            </w:pPr>
            <w:r>
              <w:rPr>
                <w:szCs w:val="22"/>
              </w:rPr>
              <w:t>Key Informant Interview</w:t>
            </w:r>
          </w:p>
        </w:tc>
      </w:tr>
      <w:tr w:rsidR="00745185" w:rsidRPr="00947E41" w14:paraId="3E234BB6" w14:textId="77777777" w:rsidTr="009B1827">
        <w:tc>
          <w:tcPr>
            <w:tcW w:w="2203" w:type="dxa"/>
          </w:tcPr>
          <w:p w14:paraId="7D6254D0" w14:textId="59CBCF10" w:rsidR="00745185" w:rsidRPr="00D45F34" w:rsidRDefault="00745185" w:rsidP="00745185">
            <w:pPr>
              <w:pStyle w:val="Acronyms"/>
              <w:ind w:left="0"/>
              <w:rPr>
                <w:b/>
                <w:szCs w:val="22"/>
              </w:rPr>
            </w:pPr>
            <w:r w:rsidRPr="00D45F34">
              <w:rPr>
                <w:b/>
                <w:szCs w:val="22"/>
              </w:rPr>
              <w:t>LMIS</w:t>
            </w:r>
          </w:p>
        </w:tc>
        <w:tc>
          <w:tcPr>
            <w:tcW w:w="7157" w:type="dxa"/>
          </w:tcPr>
          <w:p w14:paraId="405CAB45" w14:textId="7AD36CF4" w:rsidR="00745185" w:rsidRPr="00D45F34" w:rsidRDefault="00745185" w:rsidP="00745185">
            <w:pPr>
              <w:pStyle w:val="Acronyms"/>
              <w:ind w:left="0"/>
              <w:rPr>
                <w:szCs w:val="22"/>
              </w:rPr>
            </w:pPr>
            <w:r w:rsidRPr="00D45F34">
              <w:rPr>
                <w:szCs w:val="22"/>
              </w:rPr>
              <w:t>Logistics Management Information System</w:t>
            </w:r>
          </w:p>
        </w:tc>
      </w:tr>
      <w:tr w:rsidR="00745185" w:rsidRPr="00947E41" w14:paraId="11C6D191" w14:textId="77777777" w:rsidTr="009B1827">
        <w:tc>
          <w:tcPr>
            <w:tcW w:w="2203" w:type="dxa"/>
          </w:tcPr>
          <w:p w14:paraId="295077CD" w14:textId="50213B11" w:rsidR="00745185" w:rsidRPr="00D45F34" w:rsidRDefault="00745185" w:rsidP="00745185">
            <w:pPr>
              <w:pStyle w:val="Acronyms"/>
              <w:ind w:left="0"/>
              <w:rPr>
                <w:b/>
                <w:szCs w:val="22"/>
              </w:rPr>
            </w:pPr>
            <w:r w:rsidRPr="00D45F34">
              <w:rPr>
                <w:b/>
                <w:szCs w:val="22"/>
              </w:rPr>
              <w:t>M</w:t>
            </w:r>
            <w:r w:rsidR="00645E1C">
              <w:rPr>
                <w:b/>
                <w:szCs w:val="22"/>
              </w:rPr>
              <w:t>O</w:t>
            </w:r>
            <w:r w:rsidRPr="00D45F34">
              <w:rPr>
                <w:b/>
                <w:szCs w:val="22"/>
              </w:rPr>
              <w:t>H</w:t>
            </w:r>
          </w:p>
        </w:tc>
        <w:tc>
          <w:tcPr>
            <w:tcW w:w="7157" w:type="dxa"/>
          </w:tcPr>
          <w:p w14:paraId="0F10C79F" w14:textId="77777777" w:rsidR="00745185" w:rsidRPr="00D45F34" w:rsidRDefault="00745185" w:rsidP="00745185">
            <w:pPr>
              <w:pStyle w:val="Acronyms"/>
              <w:ind w:left="0"/>
              <w:rPr>
                <w:szCs w:val="22"/>
              </w:rPr>
            </w:pPr>
            <w:r w:rsidRPr="00D45F34">
              <w:rPr>
                <w:szCs w:val="22"/>
              </w:rPr>
              <w:t xml:space="preserve">Ministry of Health </w:t>
            </w:r>
          </w:p>
        </w:tc>
      </w:tr>
      <w:tr w:rsidR="00745185" w:rsidRPr="00947E41" w14:paraId="6B23D61F" w14:textId="77777777" w:rsidTr="009B1827">
        <w:tc>
          <w:tcPr>
            <w:tcW w:w="2203" w:type="dxa"/>
          </w:tcPr>
          <w:p w14:paraId="1CF2A026" w14:textId="5BFAF390" w:rsidR="00745185" w:rsidRPr="00D45F34" w:rsidRDefault="00745185" w:rsidP="00745185">
            <w:pPr>
              <w:pStyle w:val="Acronyms"/>
              <w:ind w:left="0"/>
              <w:rPr>
                <w:b/>
                <w:szCs w:val="22"/>
              </w:rPr>
            </w:pPr>
            <w:r w:rsidRPr="00D45F34">
              <w:rPr>
                <w:b/>
                <w:szCs w:val="22"/>
              </w:rPr>
              <w:t>MIS</w:t>
            </w:r>
          </w:p>
        </w:tc>
        <w:tc>
          <w:tcPr>
            <w:tcW w:w="7157" w:type="dxa"/>
          </w:tcPr>
          <w:p w14:paraId="22F6A4FA" w14:textId="7DA5E6F9" w:rsidR="00745185" w:rsidRPr="00D45F34" w:rsidRDefault="00745185" w:rsidP="00745185">
            <w:pPr>
              <w:pStyle w:val="Acronyms"/>
              <w:ind w:left="0"/>
              <w:rPr>
                <w:szCs w:val="22"/>
              </w:rPr>
            </w:pPr>
            <w:r w:rsidRPr="00D45F34">
              <w:rPr>
                <w:szCs w:val="22"/>
              </w:rPr>
              <w:t>Malaria Indicator Survey</w:t>
            </w:r>
          </w:p>
        </w:tc>
      </w:tr>
      <w:tr w:rsidR="00745185" w:rsidRPr="00947E41" w14:paraId="75055ECF" w14:textId="77777777" w:rsidTr="009B1827">
        <w:tc>
          <w:tcPr>
            <w:tcW w:w="2203" w:type="dxa"/>
          </w:tcPr>
          <w:p w14:paraId="04B4EB2E" w14:textId="5486E3AC" w:rsidR="00745185" w:rsidRPr="00D45F34" w:rsidRDefault="00BA0C74" w:rsidP="00745185">
            <w:pPr>
              <w:pStyle w:val="Acronyms"/>
              <w:ind w:left="0"/>
              <w:rPr>
                <w:b/>
                <w:szCs w:val="22"/>
              </w:rPr>
            </w:pPr>
            <w:r>
              <w:rPr>
                <w:b/>
                <w:szCs w:val="22"/>
              </w:rPr>
              <w:t>NMP</w:t>
            </w:r>
            <w:r w:rsidR="00745185" w:rsidRPr="00D45F34">
              <w:rPr>
                <w:b/>
                <w:szCs w:val="22"/>
              </w:rPr>
              <w:t xml:space="preserve"> </w:t>
            </w:r>
          </w:p>
        </w:tc>
        <w:tc>
          <w:tcPr>
            <w:tcW w:w="7157" w:type="dxa"/>
          </w:tcPr>
          <w:p w14:paraId="2BAF0952" w14:textId="34B7FD5B" w:rsidR="00745185" w:rsidRPr="00D45F34" w:rsidRDefault="00745185" w:rsidP="00745185">
            <w:pPr>
              <w:pStyle w:val="Acronyms"/>
              <w:ind w:left="0"/>
              <w:rPr>
                <w:szCs w:val="22"/>
              </w:rPr>
            </w:pPr>
            <w:r w:rsidRPr="00D45F34">
              <w:rPr>
                <w:szCs w:val="22"/>
              </w:rPr>
              <w:t xml:space="preserve">National Malaria Program </w:t>
            </w:r>
          </w:p>
        </w:tc>
      </w:tr>
      <w:tr w:rsidR="00745185" w:rsidRPr="00947E41" w14:paraId="0D9446C2" w14:textId="77777777" w:rsidTr="009B1827">
        <w:tc>
          <w:tcPr>
            <w:tcW w:w="2203" w:type="dxa"/>
          </w:tcPr>
          <w:p w14:paraId="5D6FB5D7" w14:textId="77777777" w:rsidR="00745185" w:rsidRPr="00D45F34" w:rsidRDefault="00745185" w:rsidP="00745185">
            <w:pPr>
              <w:pStyle w:val="Acronyms"/>
              <w:ind w:left="0"/>
              <w:rPr>
                <w:b/>
                <w:szCs w:val="22"/>
              </w:rPr>
            </w:pPr>
            <w:r w:rsidRPr="00D45F34">
              <w:rPr>
                <w:b/>
                <w:szCs w:val="22"/>
              </w:rPr>
              <w:t xml:space="preserve">PMI </w:t>
            </w:r>
          </w:p>
        </w:tc>
        <w:tc>
          <w:tcPr>
            <w:tcW w:w="7157" w:type="dxa"/>
          </w:tcPr>
          <w:p w14:paraId="219FE155" w14:textId="1A11F315" w:rsidR="00745185" w:rsidRPr="00D45F34" w:rsidRDefault="00745185" w:rsidP="00745185">
            <w:pPr>
              <w:pStyle w:val="Acronyms"/>
              <w:ind w:left="-18"/>
              <w:rPr>
                <w:szCs w:val="22"/>
              </w:rPr>
            </w:pPr>
            <w:r w:rsidRPr="00D45F34">
              <w:rPr>
                <w:szCs w:val="22"/>
              </w:rPr>
              <w:t xml:space="preserve">U.S. President’s Malaria Initiative </w:t>
            </w:r>
          </w:p>
        </w:tc>
      </w:tr>
      <w:tr w:rsidR="00745185" w:rsidRPr="00947E41" w14:paraId="61906B1D" w14:textId="77777777" w:rsidTr="009B1827">
        <w:tc>
          <w:tcPr>
            <w:tcW w:w="2203" w:type="dxa"/>
          </w:tcPr>
          <w:p w14:paraId="0C6B41E4" w14:textId="77777777" w:rsidR="00745185" w:rsidRPr="00D45F34" w:rsidRDefault="00745185" w:rsidP="00745185">
            <w:pPr>
              <w:pStyle w:val="Acronyms"/>
              <w:ind w:left="0"/>
              <w:rPr>
                <w:b/>
                <w:szCs w:val="22"/>
              </w:rPr>
            </w:pPr>
            <w:r w:rsidRPr="00D45F34">
              <w:rPr>
                <w:b/>
                <w:szCs w:val="22"/>
              </w:rPr>
              <w:t>PSI</w:t>
            </w:r>
          </w:p>
        </w:tc>
        <w:tc>
          <w:tcPr>
            <w:tcW w:w="7157" w:type="dxa"/>
          </w:tcPr>
          <w:p w14:paraId="09CB9143" w14:textId="77777777" w:rsidR="00745185" w:rsidRPr="00D45F34" w:rsidRDefault="00745185" w:rsidP="00745185">
            <w:pPr>
              <w:pStyle w:val="Acronyms"/>
              <w:ind w:left="0"/>
              <w:rPr>
                <w:szCs w:val="22"/>
              </w:rPr>
            </w:pPr>
            <w:r w:rsidRPr="00D45F34">
              <w:rPr>
                <w:szCs w:val="22"/>
              </w:rPr>
              <w:t xml:space="preserve">Population Services International </w:t>
            </w:r>
          </w:p>
        </w:tc>
      </w:tr>
      <w:tr w:rsidR="00745185" w:rsidRPr="00947E41" w14:paraId="61C1E6E4" w14:textId="77777777" w:rsidTr="009B1827">
        <w:tc>
          <w:tcPr>
            <w:tcW w:w="2203" w:type="dxa"/>
          </w:tcPr>
          <w:p w14:paraId="15764755" w14:textId="3C3CE180" w:rsidR="00745185" w:rsidRPr="00D45F34" w:rsidRDefault="00745185" w:rsidP="00745185">
            <w:pPr>
              <w:pStyle w:val="Acronyms"/>
              <w:ind w:left="0"/>
              <w:rPr>
                <w:b/>
                <w:szCs w:val="22"/>
              </w:rPr>
            </w:pPr>
            <w:r w:rsidRPr="00D45F34">
              <w:rPr>
                <w:b/>
                <w:szCs w:val="22"/>
              </w:rPr>
              <w:t>RBM</w:t>
            </w:r>
          </w:p>
        </w:tc>
        <w:tc>
          <w:tcPr>
            <w:tcW w:w="7157" w:type="dxa"/>
          </w:tcPr>
          <w:p w14:paraId="759B4C10" w14:textId="0EDC56F1" w:rsidR="00745185" w:rsidRPr="00D45F34" w:rsidRDefault="00745185" w:rsidP="00745185">
            <w:pPr>
              <w:pStyle w:val="Acronyms"/>
              <w:ind w:left="0"/>
              <w:rPr>
                <w:szCs w:val="22"/>
              </w:rPr>
            </w:pPr>
            <w:r w:rsidRPr="00D45F34">
              <w:rPr>
                <w:szCs w:val="22"/>
              </w:rPr>
              <w:t>Roll Back Malaria</w:t>
            </w:r>
          </w:p>
        </w:tc>
      </w:tr>
      <w:tr w:rsidR="00745185" w:rsidRPr="00947E41" w14:paraId="34DA5A91" w14:textId="77777777" w:rsidTr="009B1827">
        <w:tc>
          <w:tcPr>
            <w:tcW w:w="2203" w:type="dxa"/>
          </w:tcPr>
          <w:p w14:paraId="001EFAC4" w14:textId="77777777" w:rsidR="00745185" w:rsidRPr="00D45F34" w:rsidRDefault="00745185" w:rsidP="00745185">
            <w:pPr>
              <w:pStyle w:val="Acronyms"/>
              <w:ind w:left="0"/>
              <w:rPr>
                <w:b/>
                <w:szCs w:val="22"/>
              </w:rPr>
            </w:pPr>
            <w:r w:rsidRPr="00D45F34">
              <w:rPr>
                <w:b/>
                <w:szCs w:val="22"/>
              </w:rPr>
              <w:t>TOR</w:t>
            </w:r>
          </w:p>
        </w:tc>
        <w:tc>
          <w:tcPr>
            <w:tcW w:w="7157" w:type="dxa"/>
          </w:tcPr>
          <w:p w14:paraId="3F86E3B5" w14:textId="77777777" w:rsidR="00745185" w:rsidRPr="00D45F34" w:rsidRDefault="00745185" w:rsidP="00745185">
            <w:pPr>
              <w:spacing w:after="120"/>
              <w:rPr>
                <w:rFonts w:ascii="Garamond" w:hAnsi="Garamond"/>
                <w:sz w:val="22"/>
                <w:szCs w:val="22"/>
              </w:rPr>
            </w:pPr>
            <w:r w:rsidRPr="00D45F34">
              <w:rPr>
                <w:rFonts w:ascii="Garamond" w:hAnsi="Garamond"/>
                <w:sz w:val="22"/>
                <w:szCs w:val="22"/>
                <w:lang w:val="en"/>
              </w:rPr>
              <w:t>Terms of Reference</w:t>
            </w:r>
          </w:p>
        </w:tc>
      </w:tr>
      <w:tr w:rsidR="00745185" w:rsidRPr="00947E41" w14:paraId="3F05DB7F" w14:textId="77777777" w:rsidTr="009B1827">
        <w:tc>
          <w:tcPr>
            <w:tcW w:w="2203" w:type="dxa"/>
          </w:tcPr>
          <w:p w14:paraId="257C3364" w14:textId="77777777" w:rsidR="00745185" w:rsidRPr="00D45F34" w:rsidRDefault="00745185" w:rsidP="00745185">
            <w:pPr>
              <w:pStyle w:val="Acronyms"/>
              <w:ind w:left="0"/>
              <w:rPr>
                <w:b/>
                <w:szCs w:val="22"/>
              </w:rPr>
            </w:pPr>
            <w:r w:rsidRPr="00D45F34">
              <w:rPr>
                <w:b/>
                <w:szCs w:val="22"/>
              </w:rPr>
              <w:t>USAID</w:t>
            </w:r>
          </w:p>
        </w:tc>
        <w:tc>
          <w:tcPr>
            <w:tcW w:w="7157" w:type="dxa"/>
          </w:tcPr>
          <w:p w14:paraId="28CC41D2" w14:textId="77777777" w:rsidR="00745185" w:rsidRPr="00D45F34" w:rsidRDefault="00745185" w:rsidP="00745185">
            <w:pPr>
              <w:spacing w:after="120"/>
              <w:rPr>
                <w:rFonts w:ascii="Garamond" w:hAnsi="Garamond"/>
                <w:sz w:val="22"/>
                <w:szCs w:val="22"/>
              </w:rPr>
            </w:pPr>
            <w:r w:rsidRPr="00D45F34">
              <w:rPr>
                <w:rFonts w:ascii="Garamond" w:hAnsi="Garamond"/>
                <w:sz w:val="22"/>
                <w:szCs w:val="22"/>
              </w:rPr>
              <w:t>United States Agency for International Development</w:t>
            </w:r>
          </w:p>
        </w:tc>
      </w:tr>
      <w:tr w:rsidR="00745185" w:rsidRPr="00947E41" w14:paraId="369D69DF" w14:textId="77777777" w:rsidTr="009B1827">
        <w:tc>
          <w:tcPr>
            <w:tcW w:w="2203" w:type="dxa"/>
          </w:tcPr>
          <w:p w14:paraId="3B6664F7" w14:textId="77777777" w:rsidR="00745185" w:rsidRPr="00D45F34" w:rsidRDefault="00745185" w:rsidP="00745185">
            <w:pPr>
              <w:pStyle w:val="Acronyms"/>
              <w:ind w:left="0"/>
              <w:rPr>
                <w:b/>
                <w:szCs w:val="22"/>
              </w:rPr>
            </w:pPr>
            <w:r w:rsidRPr="00D45F34">
              <w:rPr>
                <w:b/>
                <w:szCs w:val="22"/>
              </w:rPr>
              <w:t xml:space="preserve">WHO </w:t>
            </w:r>
          </w:p>
        </w:tc>
        <w:tc>
          <w:tcPr>
            <w:tcW w:w="7157" w:type="dxa"/>
          </w:tcPr>
          <w:p w14:paraId="623C1924" w14:textId="77777777" w:rsidR="00745185" w:rsidRPr="00D45F34" w:rsidRDefault="00745185" w:rsidP="00745185">
            <w:pPr>
              <w:pStyle w:val="Acronyms"/>
              <w:ind w:left="0"/>
              <w:rPr>
                <w:szCs w:val="22"/>
              </w:rPr>
            </w:pPr>
            <w:r w:rsidRPr="00D45F34">
              <w:rPr>
                <w:szCs w:val="22"/>
              </w:rPr>
              <w:t xml:space="preserve">World Health Organization </w:t>
            </w:r>
          </w:p>
        </w:tc>
      </w:tr>
    </w:tbl>
    <w:p w14:paraId="3BA4DC0D" w14:textId="77777777" w:rsidR="00CC4A6F" w:rsidRPr="003C4319" w:rsidRDefault="00CC4A6F" w:rsidP="00354020">
      <w:pPr>
        <w:pStyle w:val="Acronyms"/>
        <w:ind w:left="0"/>
        <w:rPr>
          <w:rFonts w:ascii="Gill Sans MT" w:hAnsi="Gill Sans MT"/>
        </w:rPr>
        <w:sectPr w:rsidR="00CC4A6F" w:rsidRPr="003C4319" w:rsidSect="00415A82">
          <w:footerReference w:type="default" r:id="rId17"/>
          <w:type w:val="oddPage"/>
          <w:pgSz w:w="12240" w:h="15840" w:code="1"/>
          <w:pgMar w:top="1440" w:right="1440" w:bottom="1296" w:left="1440" w:header="720" w:footer="720" w:gutter="0"/>
          <w:pgBorders w:offsetFrom="page">
            <w:bottom w:val="single" w:sz="2" w:space="24" w:color="002A6C"/>
          </w:pgBorders>
          <w:pgNumType w:fmt="lowerRoman"/>
          <w:cols w:space="360"/>
        </w:sectPr>
      </w:pPr>
    </w:p>
    <w:p w14:paraId="3E9AA53B" w14:textId="77777777" w:rsidR="007A2D84" w:rsidRPr="00F60CAF" w:rsidRDefault="007A2D84" w:rsidP="00354020">
      <w:pPr>
        <w:pStyle w:val="Acronyms"/>
        <w:ind w:left="0"/>
        <w:rPr>
          <w:rFonts w:ascii="Gill Sans MT" w:hAnsi="Gill Sans MT"/>
        </w:rPr>
      </w:pPr>
    </w:p>
    <w:p w14:paraId="7B2A8218" w14:textId="77777777" w:rsidR="007A2D84" w:rsidRPr="00BB4920" w:rsidRDefault="007A2D84" w:rsidP="00D06F1B">
      <w:pPr>
        <w:pStyle w:val="Heading1"/>
        <w:numPr>
          <w:ilvl w:val="0"/>
          <w:numId w:val="0"/>
        </w:numPr>
        <w:ind w:left="-864"/>
      </w:pPr>
      <w:bookmarkStart w:id="7" w:name="_Toc522122489"/>
      <w:bookmarkStart w:id="8" w:name="_Toc525834974"/>
      <w:bookmarkStart w:id="9" w:name="_Toc43130658"/>
      <w:r w:rsidRPr="00801CE2">
        <w:t>Executive</w:t>
      </w:r>
      <w:r w:rsidRPr="00BB4920">
        <w:t xml:space="preserve"> Summary</w:t>
      </w:r>
      <w:bookmarkEnd w:id="7"/>
      <w:bookmarkEnd w:id="8"/>
      <w:bookmarkEnd w:id="9"/>
    </w:p>
    <w:p w14:paraId="3B3194DE" w14:textId="0EB19F67" w:rsidR="00257F09" w:rsidRPr="009B1827" w:rsidRDefault="005207BF" w:rsidP="004261E7">
      <w:pPr>
        <w:spacing w:before="120" w:after="120"/>
        <w:jc w:val="both"/>
        <w:rPr>
          <w:rFonts w:ascii="Garamond" w:hAnsi="Garamond" w:cs="Calibri"/>
          <w:sz w:val="22"/>
          <w:szCs w:val="22"/>
        </w:rPr>
      </w:pPr>
      <w:r w:rsidRPr="009B1827">
        <w:rPr>
          <w:rFonts w:ascii="Garamond" w:hAnsi="Garamond" w:cs="Calibri"/>
          <w:sz w:val="22"/>
          <w:szCs w:val="22"/>
        </w:rPr>
        <w:t>In line with recent evidence showing that repeated campaigns lead to ‘peaks and troughs’ of insecticide-treated mosquito net (ITN) coverage,</w:t>
      </w:r>
      <w:r w:rsidRPr="009B1827">
        <w:rPr>
          <w:rStyle w:val="FootnoteReference"/>
          <w:rFonts w:ascii="Garamond" w:hAnsi="Garamond" w:cs="Calibri"/>
          <w:sz w:val="22"/>
          <w:szCs w:val="22"/>
        </w:rPr>
        <w:footnoteReference w:id="2"/>
      </w:r>
      <w:r w:rsidRPr="009B1827">
        <w:rPr>
          <w:rFonts w:ascii="Garamond" w:hAnsi="Garamond" w:cs="Calibri"/>
          <w:sz w:val="22"/>
          <w:szCs w:val="22"/>
        </w:rPr>
        <w:t xml:space="preserve"> a renewed focus on complementary channels of continuous distribution is well placed. ITNs undergo physical, chemical, and other types of deterioration and loss over time and new sleeping spaces are continuously generated through birth, </w:t>
      </w:r>
      <w:proofErr w:type="gramStart"/>
      <w:r w:rsidRPr="009B1827">
        <w:rPr>
          <w:rFonts w:ascii="Garamond" w:hAnsi="Garamond" w:cs="Calibri"/>
          <w:sz w:val="22"/>
          <w:szCs w:val="22"/>
        </w:rPr>
        <w:t>marriage</w:t>
      </w:r>
      <w:proofErr w:type="gramEnd"/>
      <w:r w:rsidRPr="009B1827">
        <w:rPr>
          <w:rFonts w:ascii="Garamond" w:hAnsi="Garamond" w:cs="Calibri"/>
          <w:sz w:val="22"/>
          <w:szCs w:val="22"/>
        </w:rPr>
        <w:t xml:space="preserve"> and population movement. Continuous distribution is recognized as a critical and cost-effective component of maintaining high ITN coverage</w:t>
      </w:r>
      <w:r w:rsidR="00865491" w:rsidRPr="009B1827">
        <w:rPr>
          <w:rFonts w:ascii="Garamond" w:hAnsi="Garamond" w:cs="Calibri"/>
          <w:sz w:val="22"/>
          <w:szCs w:val="22"/>
        </w:rPr>
        <w:t>.</w:t>
      </w:r>
      <w:r w:rsidR="00865491" w:rsidRPr="009B1827">
        <w:rPr>
          <w:rStyle w:val="FootnoteReference"/>
          <w:rFonts w:ascii="Garamond" w:hAnsi="Garamond" w:cs="Calibri"/>
          <w:sz w:val="22"/>
          <w:szCs w:val="22"/>
        </w:rPr>
        <w:t>1</w:t>
      </w:r>
    </w:p>
    <w:p w14:paraId="0A7804CC" w14:textId="4F3CD915" w:rsidR="00DB5310" w:rsidRPr="009B1827" w:rsidRDefault="00DB5310" w:rsidP="004261E7">
      <w:pPr>
        <w:spacing w:before="120" w:after="120"/>
        <w:jc w:val="both"/>
        <w:rPr>
          <w:rFonts w:ascii="Garamond" w:hAnsi="Garamond" w:cs="Calibri"/>
          <w:sz w:val="22"/>
          <w:szCs w:val="22"/>
        </w:rPr>
      </w:pPr>
      <w:r w:rsidRPr="009B1827">
        <w:rPr>
          <w:rFonts w:ascii="Garamond" w:hAnsi="Garamond" w:cs="Calibri"/>
          <w:sz w:val="22"/>
          <w:szCs w:val="22"/>
        </w:rPr>
        <w:t>Health facility continuous distribution channels were found to be more cost-effective than mass campaigns for averting DALYs, deaths and cases of malaria</w:t>
      </w:r>
      <w:r w:rsidRPr="009B1827">
        <w:rPr>
          <w:rStyle w:val="FootnoteReference"/>
          <w:rFonts w:ascii="Garamond" w:hAnsi="Garamond" w:cs="Calibri"/>
          <w:sz w:val="22"/>
          <w:szCs w:val="22"/>
        </w:rPr>
        <w:footnoteReference w:id="3"/>
      </w:r>
      <w:r w:rsidR="00E0438C" w:rsidRPr="009B1827">
        <w:rPr>
          <w:rFonts w:ascii="Garamond" w:hAnsi="Garamond" w:cs="Calibri"/>
          <w:sz w:val="22"/>
          <w:szCs w:val="22"/>
        </w:rPr>
        <w:t>. A review of four types of continuous delivery systems (ANC, EPI, Schools and Community</w:t>
      </w:r>
      <w:r w:rsidR="00257F09" w:rsidRPr="009B1827">
        <w:rPr>
          <w:rFonts w:ascii="Garamond" w:hAnsi="Garamond" w:cs="Calibri"/>
          <w:sz w:val="22"/>
          <w:szCs w:val="22"/>
        </w:rPr>
        <w:t>/health facility) in 6 countries showed that these strategies can continue to deliver nets at a comparable cost to mass distributions, especially from the perspective of the donor</w:t>
      </w:r>
      <w:r w:rsidR="00257F09" w:rsidRPr="009B1827">
        <w:rPr>
          <w:rStyle w:val="FootnoteReference"/>
          <w:rFonts w:ascii="Garamond" w:hAnsi="Garamond" w:cs="Calibri"/>
          <w:sz w:val="22"/>
          <w:szCs w:val="22"/>
        </w:rPr>
        <w:footnoteReference w:id="4"/>
      </w:r>
      <w:r w:rsidR="00257F09" w:rsidRPr="009B1827">
        <w:rPr>
          <w:rFonts w:ascii="Garamond" w:hAnsi="Garamond" w:cs="Calibri"/>
          <w:sz w:val="22"/>
          <w:szCs w:val="22"/>
        </w:rPr>
        <w:t>.</w:t>
      </w:r>
    </w:p>
    <w:p w14:paraId="2B9F10B0" w14:textId="6C60C9FA" w:rsidR="005207BF" w:rsidRPr="009B1827" w:rsidRDefault="005207BF" w:rsidP="004261E7">
      <w:pPr>
        <w:autoSpaceDE w:val="0"/>
        <w:autoSpaceDN w:val="0"/>
        <w:adjustRightInd w:val="0"/>
        <w:spacing w:before="120" w:after="120"/>
        <w:jc w:val="both"/>
        <w:rPr>
          <w:rFonts w:ascii="Garamond" w:hAnsi="Garamond" w:cs="Calibri"/>
          <w:sz w:val="22"/>
          <w:szCs w:val="22"/>
        </w:rPr>
      </w:pPr>
      <w:r w:rsidRPr="009B1827">
        <w:rPr>
          <w:rFonts w:ascii="Garamond" w:hAnsi="Garamond" w:cs="Calibri"/>
          <w:sz w:val="22"/>
          <w:szCs w:val="22"/>
        </w:rPr>
        <w:t xml:space="preserve">Distribution of ITNs via routine health services began more than twenty years ago, with the first documented pilots in Tanzania – the </w:t>
      </w:r>
      <w:proofErr w:type="spellStart"/>
      <w:r w:rsidRPr="009B1827">
        <w:rPr>
          <w:rFonts w:ascii="Garamond" w:hAnsi="Garamond" w:cs="Calibri"/>
          <w:sz w:val="22"/>
          <w:szCs w:val="22"/>
        </w:rPr>
        <w:t>Ifakara</w:t>
      </w:r>
      <w:proofErr w:type="spellEnd"/>
      <w:r w:rsidRPr="009B1827">
        <w:rPr>
          <w:rFonts w:ascii="Garamond" w:hAnsi="Garamond" w:cs="Calibri"/>
          <w:sz w:val="22"/>
          <w:szCs w:val="22"/>
        </w:rPr>
        <w:t xml:space="preserve"> and Swiss T</w:t>
      </w:r>
      <w:r w:rsidR="00AC3518" w:rsidRPr="009B1827">
        <w:rPr>
          <w:rFonts w:ascii="Garamond" w:hAnsi="Garamond" w:cs="Calibri"/>
          <w:sz w:val="22"/>
          <w:szCs w:val="22"/>
        </w:rPr>
        <w:t>ropical and Public Health Institute</w:t>
      </w:r>
      <w:r w:rsidRPr="009B1827">
        <w:rPr>
          <w:rFonts w:ascii="Garamond" w:hAnsi="Garamond" w:cs="Calibri"/>
          <w:sz w:val="22"/>
          <w:szCs w:val="22"/>
        </w:rPr>
        <w:t xml:space="preserve"> KINET project in 1996 and </w:t>
      </w:r>
      <w:r w:rsidR="00AC3518" w:rsidRPr="009B1827">
        <w:rPr>
          <w:rFonts w:ascii="Garamond" w:hAnsi="Garamond" w:cs="Calibri"/>
          <w:sz w:val="22"/>
          <w:szCs w:val="22"/>
        </w:rPr>
        <w:t>the Population Services International (</w:t>
      </w:r>
      <w:r w:rsidRPr="009B1827">
        <w:rPr>
          <w:rFonts w:ascii="Garamond" w:hAnsi="Garamond" w:cs="Calibri"/>
          <w:sz w:val="22"/>
          <w:szCs w:val="22"/>
        </w:rPr>
        <w:t>PSI</w:t>
      </w:r>
      <w:r w:rsidR="00C524A1" w:rsidRPr="009B1827">
        <w:rPr>
          <w:rFonts w:ascii="Garamond" w:hAnsi="Garamond" w:cs="Calibri"/>
          <w:sz w:val="22"/>
          <w:szCs w:val="22"/>
        </w:rPr>
        <w:t>)</w:t>
      </w:r>
      <w:r w:rsidRPr="009B1827">
        <w:rPr>
          <w:rFonts w:ascii="Garamond" w:hAnsi="Garamond" w:cs="Calibri"/>
          <w:sz w:val="22"/>
          <w:szCs w:val="22"/>
        </w:rPr>
        <w:t xml:space="preserve"> Lea </w:t>
      </w:r>
      <w:proofErr w:type="spellStart"/>
      <w:r w:rsidRPr="009B1827">
        <w:rPr>
          <w:rFonts w:ascii="Garamond" w:hAnsi="Garamond" w:cs="Calibri"/>
          <w:sz w:val="22"/>
          <w:szCs w:val="22"/>
        </w:rPr>
        <w:t>Mwana</w:t>
      </w:r>
      <w:proofErr w:type="spellEnd"/>
      <w:r w:rsidRPr="009B1827">
        <w:rPr>
          <w:rFonts w:ascii="Garamond" w:hAnsi="Garamond" w:cs="Calibri"/>
          <w:sz w:val="22"/>
          <w:szCs w:val="22"/>
        </w:rPr>
        <w:t xml:space="preserve"> project in 1998 – delivering reduced price or free ITNs to pregnant women and children under five. Both projects showed promising results for implementation feasibility and increasing ITN ownership. Building on these experiences, Malawi implemented the first nationwide antenatal </w:t>
      </w:r>
      <w:r w:rsidR="00AC3518" w:rsidRPr="009B1827">
        <w:rPr>
          <w:rFonts w:ascii="Garamond" w:hAnsi="Garamond" w:cs="Calibri"/>
          <w:sz w:val="22"/>
          <w:szCs w:val="22"/>
        </w:rPr>
        <w:t>care</w:t>
      </w:r>
      <w:r w:rsidRPr="009B1827">
        <w:rPr>
          <w:rFonts w:ascii="Garamond" w:hAnsi="Garamond" w:cs="Calibri"/>
          <w:sz w:val="22"/>
          <w:szCs w:val="22"/>
        </w:rPr>
        <w:t xml:space="preserve"> (ANC) ITN delivery program in 2002, with preliminary 2010 Demographic and Health Survey results showing coverage increases to 67% of households in Malawi, with 85% of those nets delivered through ANC and under</w:t>
      </w:r>
      <w:r w:rsidRPr="009B1827">
        <w:rPr>
          <w:sz w:val="22"/>
          <w:szCs w:val="22"/>
        </w:rPr>
        <w:t>‐</w:t>
      </w:r>
      <w:r w:rsidRPr="009B1827">
        <w:rPr>
          <w:rFonts w:ascii="Garamond" w:hAnsi="Garamond" w:cs="Calibri"/>
          <w:sz w:val="22"/>
          <w:szCs w:val="22"/>
        </w:rPr>
        <w:t>five clinics and social marketing.</w:t>
      </w:r>
      <w:r w:rsidRPr="009B1827">
        <w:rPr>
          <w:rStyle w:val="FootnoteReference"/>
          <w:rFonts w:ascii="Garamond" w:hAnsi="Garamond" w:cs="Calibri"/>
          <w:sz w:val="22"/>
          <w:szCs w:val="22"/>
        </w:rPr>
        <w:footnoteReference w:id="5"/>
      </w:r>
    </w:p>
    <w:p w14:paraId="65B43595" w14:textId="5831635F" w:rsidR="005207BF" w:rsidRPr="009B1827" w:rsidRDefault="005207BF" w:rsidP="004261E7">
      <w:pPr>
        <w:autoSpaceDE w:val="0"/>
        <w:autoSpaceDN w:val="0"/>
        <w:adjustRightInd w:val="0"/>
        <w:spacing w:before="120" w:after="120"/>
        <w:jc w:val="both"/>
        <w:rPr>
          <w:rFonts w:ascii="Garamond" w:hAnsi="Garamond" w:cs="Calibri"/>
          <w:sz w:val="22"/>
          <w:szCs w:val="22"/>
        </w:rPr>
      </w:pPr>
      <w:r w:rsidRPr="009B1827">
        <w:rPr>
          <w:rFonts w:ascii="Garamond" w:hAnsi="Garamond" w:cs="Calibri"/>
          <w:sz w:val="22"/>
          <w:szCs w:val="22"/>
        </w:rPr>
        <w:t xml:space="preserve">Since then </w:t>
      </w:r>
      <w:proofErr w:type="gramStart"/>
      <w:r w:rsidRPr="009B1827">
        <w:rPr>
          <w:rFonts w:ascii="Garamond" w:hAnsi="Garamond" w:cs="Calibri"/>
          <w:sz w:val="22"/>
          <w:szCs w:val="22"/>
        </w:rPr>
        <w:t>a number of</w:t>
      </w:r>
      <w:proofErr w:type="gramEnd"/>
      <w:r w:rsidRPr="009B1827">
        <w:rPr>
          <w:rFonts w:ascii="Garamond" w:hAnsi="Garamond" w:cs="Calibri"/>
          <w:sz w:val="22"/>
          <w:szCs w:val="22"/>
        </w:rPr>
        <w:t xml:space="preserve"> countries </w:t>
      </w:r>
      <w:r w:rsidR="0022182F" w:rsidRPr="009B1827">
        <w:rPr>
          <w:rFonts w:ascii="Garamond" w:hAnsi="Garamond" w:cs="Calibri"/>
          <w:sz w:val="22"/>
          <w:szCs w:val="22"/>
        </w:rPr>
        <w:t xml:space="preserve">have </w:t>
      </w:r>
      <w:r w:rsidRPr="009B1827">
        <w:rPr>
          <w:rFonts w:ascii="Garamond" w:hAnsi="Garamond" w:cs="Calibri"/>
          <w:sz w:val="22"/>
          <w:szCs w:val="22"/>
        </w:rPr>
        <w:t xml:space="preserve">developed and implemented programs to deliver ITNs via ANC, Expanded Program on Immunization (EPI), and other routine health services. </w:t>
      </w:r>
      <w:r w:rsidR="0011313F" w:rsidRPr="009B1827">
        <w:rPr>
          <w:rFonts w:ascii="Garamond" w:hAnsi="Garamond" w:cs="Calibri"/>
          <w:sz w:val="22"/>
          <w:szCs w:val="22"/>
        </w:rPr>
        <w:t xml:space="preserve">Research and pilot implementation by </w:t>
      </w:r>
      <w:r w:rsidRPr="009B1827">
        <w:rPr>
          <w:rFonts w:ascii="Garamond" w:hAnsi="Garamond" w:cs="Calibri"/>
          <w:sz w:val="22"/>
          <w:szCs w:val="22"/>
        </w:rPr>
        <w:t>the</w:t>
      </w:r>
      <w:r w:rsidR="00AC3518" w:rsidRPr="009B1827">
        <w:rPr>
          <w:rFonts w:ascii="Garamond" w:hAnsi="Garamond" w:cs="Calibri"/>
          <w:sz w:val="22"/>
          <w:szCs w:val="22"/>
        </w:rPr>
        <w:t xml:space="preserve"> U.S. President’s Malaria </w:t>
      </w:r>
      <w:proofErr w:type="spellStart"/>
      <w:r w:rsidR="00AC3518" w:rsidRPr="009B1827">
        <w:rPr>
          <w:rFonts w:ascii="Garamond" w:hAnsi="Garamond" w:cs="Calibri"/>
          <w:sz w:val="22"/>
          <w:szCs w:val="22"/>
        </w:rPr>
        <w:t>Intiative</w:t>
      </w:r>
      <w:proofErr w:type="spellEnd"/>
      <w:r w:rsidR="00AC3518" w:rsidRPr="009B1827">
        <w:rPr>
          <w:rFonts w:ascii="Garamond" w:hAnsi="Garamond" w:cs="Calibri"/>
          <w:sz w:val="22"/>
          <w:szCs w:val="22"/>
        </w:rPr>
        <w:t xml:space="preserve"> (</w:t>
      </w:r>
      <w:r w:rsidRPr="009B1827">
        <w:rPr>
          <w:rFonts w:ascii="Garamond" w:hAnsi="Garamond" w:cs="Calibri"/>
          <w:sz w:val="22"/>
          <w:szCs w:val="22"/>
        </w:rPr>
        <w:t>PMI</w:t>
      </w:r>
      <w:r w:rsidR="00AC3518" w:rsidRPr="009B1827">
        <w:rPr>
          <w:rFonts w:ascii="Garamond" w:hAnsi="Garamond" w:cs="Calibri"/>
          <w:sz w:val="22"/>
          <w:szCs w:val="22"/>
        </w:rPr>
        <w:t>)</w:t>
      </w:r>
      <w:r w:rsidRPr="009B1827">
        <w:rPr>
          <w:rFonts w:ascii="Garamond" w:hAnsi="Garamond" w:cs="Calibri"/>
          <w:sz w:val="22"/>
          <w:szCs w:val="22"/>
        </w:rPr>
        <w:t xml:space="preserve"> </w:t>
      </w:r>
      <w:proofErr w:type="spellStart"/>
      <w:r w:rsidRPr="009B1827">
        <w:rPr>
          <w:rFonts w:ascii="Garamond" w:hAnsi="Garamond" w:cs="Calibri"/>
          <w:sz w:val="22"/>
          <w:szCs w:val="22"/>
        </w:rPr>
        <w:t>VectorWorks</w:t>
      </w:r>
      <w:proofErr w:type="spellEnd"/>
      <w:r w:rsidR="00BF782A" w:rsidRPr="009B1827">
        <w:rPr>
          <w:rFonts w:ascii="Garamond" w:hAnsi="Garamond" w:cs="Calibri"/>
          <w:sz w:val="22"/>
          <w:szCs w:val="22"/>
        </w:rPr>
        <w:t xml:space="preserve"> Project</w:t>
      </w:r>
      <w:r w:rsidR="0011313F" w:rsidRPr="009B1827">
        <w:rPr>
          <w:rFonts w:ascii="Garamond" w:hAnsi="Garamond" w:cs="Calibri"/>
          <w:sz w:val="22"/>
          <w:szCs w:val="22"/>
        </w:rPr>
        <w:t xml:space="preserve"> demonstrates that </w:t>
      </w:r>
      <w:r w:rsidRPr="009B1827">
        <w:rPr>
          <w:rFonts w:ascii="Garamond" w:hAnsi="Garamond" w:cs="Calibri"/>
          <w:sz w:val="22"/>
          <w:szCs w:val="22"/>
        </w:rPr>
        <w:t xml:space="preserve">continuous distribution of </w:t>
      </w:r>
      <w:r w:rsidR="00931C86" w:rsidRPr="009B1827">
        <w:rPr>
          <w:rFonts w:ascii="Garamond" w:hAnsi="Garamond" w:cs="Calibri"/>
          <w:sz w:val="22"/>
          <w:szCs w:val="22"/>
        </w:rPr>
        <w:t>ITN</w:t>
      </w:r>
      <w:r w:rsidRPr="009B1827">
        <w:rPr>
          <w:rFonts w:ascii="Garamond" w:hAnsi="Garamond" w:cs="Calibri"/>
          <w:sz w:val="22"/>
          <w:szCs w:val="22"/>
        </w:rPr>
        <w:t xml:space="preserve"> through schools in Ghana, Senegal and Tanzania as well as distribution through community-based channels in Madagascar, Nigeria, and South Sudan have proven both feasible and effective. </w:t>
      </w:r>
    </w:p>
    <w:p w14:paraId="73E97C76" w14:textId="7B9C47D1" w:rsidR="00A17672" w:rsidRPr="009B1827" w:rsidRDefault="005207BF" w:rsidP="004261E7">
      <w:pPr>
        <w:autoSpaceDE w:val="0"/>
        <w:autoSpaceDN w:val="0"/>
        <w:adjustRightInd w:val="0"/>
        <w:spacing w:before="120" w:after="120"/>
        <w:jc w:val="both"/>
        <w:rPr>
          <w:rFonts w:ascii="Garamond" w:hAnsi="Garamond"/>
          <w:sz w:val="22"/>
          <w:szCs w:val="22"/>
        </w:rPr>
      </w:pPr>
      <w:proofErr w:type="gramStart"/>
      <w:r w:rsidRPr="009B1827">
        <w:rPr>
          <w:rFonts w:ascii="Garamond" w:hAnsi="Garamond" w:cs="Calibri"/>
          <w:sz w:val="22"/>
          <w:szCs w:val="22"/>
        </w:rPr>
        <w:t>In spite of</w:t>
      </w:r>
      <w:proofErr w:type="gramEnd"/>
      <w:r w:rsidRPr="009B1827">
        <w:rPr>
          <w:rFonts w:ascii="Garamond" w:hAnsi="Garamond" w:cs="Calibri"/>
          <w:sz w:val="22"/>
          <w:szCs w:val="22"/>
        </w:rPr>
        <w:t xml:space="preserve"> this extensive operational experience in implementing continuous ITN distribution across many countries, significant challenges remain in reaching intended beneficiaries, ensuring consistent ITN supply, and tracking ITNs delivered. While numerous evaluations of ITN </w:t>
      </w:r>
      <w:r w:rsidR="0011313F" w:rsidRPr="009B1827">
        <w:rPr>
          <w:rFonts w:ascii="Garamond" w:hAnsi="Garamond" w:cs="Calibri"/>
          <w:sz w:val="22"/>
          <w:szCs w:val="22"/>
        </w:rPr>
        <w:t xml:space="preserve">mass </w:t>
      </w:r>
      <w:r w:rsidRPr="009B1827">
        <w:rPr>
          <w:rFonts w:ascii="Garamond" w:hAnsi="Garamond" w:cs="Calibri"/>
          <w:sz w:val="22"/>
          <w:szCs w:val="22"/>
        </w:rPr>
        <w:t xml:space="preserve">campaigns have been conducted, </w:t>
      </w:r>
      <w:r w:rsidR="00544ABE" w:rsidRPr="009B1827">
        <w:rPr>
          <w:rFonts w:ascii="Garamond" w:hAnsi="Garamond" w:cs="Calibri"/>
          <w:sz w:val="22"/>
          <w:szCs w:val="22"/>
        </w:rPr>
        <w:t>relatively</w:t>
      </w:r>
      <w:r w:rsidR="0022182F" w:rsidRPr="009B1827">
        <w:rPr>
          <w:rFonts w:ascii="Garamond" w:hAnsi="Garamond" w:cs="Calibri"/>
          <w:sz w:val="22"/>
          <w:szCs w:val="22"/>
        </w:rPr>
        <w:t xml:space="preserve"> few continuous distribution implementation systems have been </w:t>
      </w:r>
      <w:r w:rsidR="00257F09" w:rsidRPr="009B1827">
        <w:rPr>
          <w:rFonts w:ascii="Garamond" w:hAnsi="Garamond" w:cs="Calibri"/>
          <w:sz w:val="22"/>
          <w:szCs w:val="22"/>
        </w:rPr>
        <w:t>evaluated</w:t>
      </w:r>
      <w:r w:rsidR="003372BE" w:rsidRPr="009B1827">
        <w:rPr>
          <w:rFonts w:ascii="Garamond" w:hAnsi="Garamond" w:cs="Calibri"/>
          <w:sz w:val="22"/>
          <w:szCs w:val="22"/>
        </w:rPr>
        <w:t xml:space="preserve">. </w:t>
      </w:r>
    </w:p>
    <w:p w14:paraId="0AD682BE" w14:textId="79BE0E8C" w:rsidR="00674E43" w:rsidRPr="009B1827" w:rsidRDefault="005207BF" w:rsidP="004261E7">
      <w:pPr>
        <w:spacing w:before="120" w:after="120"/>
        <w:jc w:val="both"/>
        <w:rPr>
          <w:rFonts w:ascii="Garamond" w:hAnsi="Garamond" w:cs="Calibri"/>
          <w:color w:val="000000"/>
          <w:sz w:val="22"/>
          <w:szCs w:val="22"/>
        </w:rPr>
      </w:pPr>
      <w:r w:rsidRPr="009B1827">
        <w:rPr>
          <w:rFonts w:ascii="Garamond" w:hAnsi="Garamond" w:cs="Calibri"/>
          <w:color w:val="000000"/>
          <w:sz w:val="22"/>
          <w:szCs w:val="22"/>
        </w:rPr>
        <w:t xml:space="preserve">In 2018 and 2019, the PMI VectorLink project undertook assessments of ITN continuous distribution systems in Burkina Faso, Cameroon, Niger, and Senegal. The assessment design </w:t>
      </w:r>
      <w:r w:rsidRPr="009B1827">
        <w:rPr>
          <w:rFonts w:ascii="Garamond" w:hAnsi="Garamond"/>
          <w:sz w:val="22"/>
          <w:szCs w:val="22"/>
        </w:rPr>
        <w:t xml:space="preserve">built on the global learning and successes of the Alliance for Malaria Prevention (AMP) and PMI </w:t>
      </w:r>
      <w:proofErr w:type="spellStart"/>
      <w:r w:rsidRPr="009B1827">
        <w:rPr>
          <w:rFonts w:ascii="Garamond" w:hAnsi="Garamond"/>
          <w:sz w:val="22"/>
          <w:szCs w:val="22"/>
        </w:rPr>
        <w:t>VectorWorks</w:t>
      </w:r>
      <w:proofErr w:type="spellEnd"/>
      <w:r w:rsidRPr="009B1827">
        <w:rPr>
          <w:rFonts w:ascii="Garamond" w:hAnsi="Garamond"/>
          <w:sz w:val="22"/>
          <w:szCs w:val="22"/>
        </w:rPr>
        <w:t>.</w:t>
      </w:r>
      <w:r w:rsidRPr="009B1827">
        <w:rPr>
          <w:rFonts w:ascii="Garamond" w:hAnsi="Garamond" w:cs="Calibri"/>
          <w:color w:val="000000"/>
          <w:sz w:val="22"/>
          <w:szCs w:val="22"/>
        </w:rPr>
        <w:t xml:space="preserve"> </w:t>
      </w:r>
      <w:r w:rsidRPr="009B1827">
        <w:rPr>
          <w:rFonts w:ascii="Garamond" w:hAnsi="Garamond"/>
          <w:sz w:val="22"/>
          <w:szCs w:val="22"/>
        </w:rPr>
        <w:t xml:space="preserve">The assessments support the goal of </w:t>
      </w:r>
      <w:r w:rsidRPr="009B1827">
        <w:rPr>
          <w:rFonts w:ascii="Garamond" w:hAnsi="Garamond" w:cs="Calibri"/>
          <w:color w:val="000000"/>
          <w:sz w:val="22"/>
          <w:szCs w:val="22"/>
        </w:rPr>
        <w:t xml:space="preserve">strengthening </w:t>
      </w:r>
      <w:r w:rsidR="0022182F" w:rsidRPr="009B1827">
        <w:rPr>
          <w:rFonts w:ascii="Garamond" w:hAnsi="Garamond" w:cs="Calibri"/>
          <w:color w:val="000000"/>
          <w:sz w:val="22"/>
          <w:szCs w:val="22"/>
        </w:rPr>
        <w:t>systems and strategic approaches for future ITN distribution in endemic countries</w:t>
      </w:r>
      <w:r w:rsidRPr="009B1827">
        <w:rPr>
          <w:rFonts w:ascii="Garamond" w:hAnsi="Garamond" w:cs="Calibri"/>
          <w:color w:val="000000"/>
          <w:sz w:val="22"/>
          <w:szCs w:val="22"/>
        </w:rPr>
        <w:t>.</w:t>
      </w:r>
    </w:p>
    <w:p w14:paraId="066CB875" w14:textId="4B885924" w:rsidR="00674E43" w:rsidRPr="009B1827" w:rsidRDefault="00674E43" w:rsidP="004261E7">
      <w:pPr>
        <w:spacing w:before="120" w:after="120"/>
        <w:jc w:val="both"/>
        <w:rPr>
          <w:rFonts w:ascii="Garamond" w:hAnsi="Garamond" w:cs="Calibri"/>
          <w:color w:val="000000"/>
          <w:sz w:val="22"/>
          <w:szCs w:val="22"/>
        </w:rPr>
      </w:pPr>
      <w:r w:rsidRPr="009B1827">
        <w:rPr>
          <w:rFonts w:ascii="Garamond" w:hAnsi="Garamond"/>
          <w:b/>
          <w:bCs/>
          <w:sz w:val="22"/>
          <w:szCs w:val="22"/>
        </w:rPr>
        <w:t>The purpose</w:t>
      </w:r>
      <w:r w:rsidRPr="009B1827">
        <w:rPr>
          <w:rFonts w:ascii="Garamond" w:hAnsi="Garamond"/>
          <w:sz w:val="22"/>
          <w:szCs w:val="22"/>
        </w:rPr>
        <w:t xml:space="preserve"> of this toolkit is to provide stakeholders with step-by-step guidance and materials to conduct similar ITN continuous distribution assessment</w:t>
      </w:r>
      <w:r w:rsidR="00661005" w:rsidRPr="009B1827">
        <w:rPr>
          <w:rFonts w:ascii="Garamond" w:hAnsi="Garamond"/>
          <w:sz w:val="22"/>
          <w:szCs w:val="22"/>
        </w:rPr>
        <w:t>s</w:t>
      </w:r>
      <w:r w:rsidRPr="009B1827">
        <w:rPr>
          <w:rFonts w:ascii="Garamond" w:hAnsi="Garamond" w:cs="Calibri"/>
          <w:color w:val="000000"/>
          <w:sz w:val="22"/>
          <w:szCs w:val="22"/>
        </w:rPr>
        <w:t xml:space="preserve">. </w:t>
      </w:r>
      <w:r w:rsidR="00A01DB5" w:rsidRPr="009B1827">
        <w:rPr>
          <w:rFonts w:ascii="Garamond" w:hAnsi="Garamond" w:cs="Calibri"/>
          <w:color w:val="000000"/>
          <w:sz w:val="22"/>
          <w:szCs w:val="22"/>
        </w:rPr>
        <w:t xml:space="preserve">The purpose of </w:t>
      </w:r>
      <w:r w:rsidR="009423B0" w:rsidRPr="009B1827">
        <w:rPr>
          <w:rFonts w:ascii="Garamond" w:hAnsi="Garamond" w:cs="Calibri"/>
          <w:color w:val="000000"/>
          <w:sz w:val="22"/>
          <w:szCs w:val="22"/>
        </w:rPr>
        <w:t xml:space="preserve">the </w:t>
      </w:r>
      <w:r w:rsidR="00B41659" w:rsidRPr="009B1827">
        <w:rPr>
          <w:rFonts w:ascii="Garamond" w:hAnsi="Garamond" w:cs="Calibri"/>
          <w:color w:val="000000"/>
          <w:sz w:val="22"/>
          <w:szCs w:val="22"/>
        </w:rPr>
        <w:t>assessment</w:t>
      </w:r>
      <w:r w:rsidRPr="009B1827">
        <w:rPr>
          <w:rFonts w:ascii="Garamond" w:hAnsi="Garamond" w:cs="Calibri"/>
          <w:color w:val="000000"/>
          <w:sz w:val="22"/>
          <w:szCs w:val="22"/>
        </w:rPr>
        <w:t xml:space="preserve"> is</w:t>
      </w:r>
      <w:r w:rsidR="00A01DB5" w:rsidRPr="009B1827">
        <w:rPr>
          <w:rFonts w:ascii="Garamond" w:hAnsi="Garamond" w:cs="Calibri"/>
          <w:color w:val="000000"/>
          <w:sz w:val="22"/>
          <w:szCs w:val="22"/>
        </w:rPr>
        <w:t xml:space="preserve"> to support a comprehensive qualitative </w:t>
      </w:r>
      <w:r w:rsidR="008F31A4" w:rsidRPr="009B1827">
        <w:rPr>
          <w:rFonts w:ascii="Garamond" w:hAnsi="Garamond" w:cs="Calibri"/>
          <w:color w:val="000000"/>
          <w:sz w:val="22"/>
          <w:szCs w:val="22"/>
        </w:rPr>
        <w:t xml:space="preserve">process evaluation </w:t>
      </w:r>
      <w:r w:rsidR="00A01DB5" w:rsidRPr="009B1827">
        <w:rPr>
          <w:rFonts w:ascii="Garamond" w:hAnsi="Garamond" w:cs="Calibri"/>
          <w:color w:val="000000"/>
          <w:sz w:val="22"/>
          <w:szCs w:val="22"/>
        </w:rPr>
        <w:t xml:space="preserve">of continuous </w:t>
      </w:r>
      <w:r w:rsidR="005207BF" w:rsidRPr="009B1827">
        <w:rPr>
          <w:rFonts w:ascii="Garamond" w:hAnsi="Garamond" w:cs="Calibri"/>
          <w:color w:val="000000"/>
          <w:sz w:val="22"/>
          <w:szCs w:val="22"/>
        </w:rPr>
        <w:t>IT</w:t>
      </w:r>
      <w:r w:rsidR="00A01DB5" w:rsidRPr="009B1827">
        <w:rPr>
          <w:rFonts w:ascii="Garamond" w:hAnsi="Garamond" w:cs="Calibri"/>
          <w:color w:val="000000"/>
          <w:sz w:val="22"/>
          <w:szCs w:val="22"/>
        </w:rPr>
        <w:t xml:space="preserve">N distribution </w:t>
      </w:r>
      <w:r w:rsidR="005207BF" w:rsidRPr="009B1827">
        <w:rPr>
          <w:rFonts w:ascii="Garamond" w:hAnsi="Garamond" w:cs="Calibri"/>
          <w:color w:val="000000"/>
          <w:sz w:val="22"/>
          <w:szCs w:val="22"/>
        </w:rPr>
        <w:t>and</w:t>
      </w:r>
      <w:r w:rsidR="00A01DB5" w:rsidRPr="009B1827">
        <w:rPr>
          <w:rFonts w:ascii="Garamond" w:hAnsi="Garamond" w:cs="Calibri"/>
          <w:color w:val="000000"/>
          <w:sz w:val="22"/>
          <w:szCs w:val="22"/>
        </w:rPr>
        <w:t xml:space="preserve"> to provide the </w:t>
      </w:r>
      <w:bookmarkStart w:id="10" w:name="_Hlk525889830"/>
      <w:r w:rsidR="00BF782A" w:rsidRPr="009B1827">
        <w:rPr>
          <w:rFonts w:ascii="Garamond" w:hAnsi="Garamond" w:cs="Calibri"/>
          <w:color w:val="000000"/>
          <w:sz w:val="22"/>
          <w:szCs w:val="22"/>
        </w:rPr>
        <w:t xml:space="preserve">National Malaria Program </w:t>
      </w:r>
      <w:r w:rsidR="00BF782A" w:rsidRPr="009B1827">
        <w:rPr>
          <w:rFonts w:ascii="Garamond" w:hAnsi="Garamond" w:cs="Calibri"/>
          <w:color w:val="000000"/>
          <w:sz w:val="22"/>
          <w:szCs w:val="22"/>
        </w:rPr>
        <w:lastRenderedPageBreak/>
        <w:t>(NMP)</w:t>
      </w:r>
      <w:r w:rsidR="00A01DB5" w:rsidRPr="009B1827">
        <w:rPr>
          <w:rFonts w:ascii="Garamond" w:hAnsi="Garamond" w:cs="Calibri"/>
          <w:color w:val="000000"/>
          <w:sz w:val="22"/>
          <w:szCs w:val="22"/>
        </w:rPr>
        <w:t xml:space="preserve">, </w:t>
      </w:r>
      <w:bookmarkEnd w:id="10"/>
      <w:r w:rsidR="00F37288" w:rsidRPr="009B1827">
        <w:rPr>
          <w:rFonts w:ascii="Garamond" w:hAnsi="Garamond" w:cs="Calibri"/>
          <w:color w:val="000000"/>
          <w:sz w:val="22"/>
          <w:szCs w:val="22"/>
        </w:rPr>
        <w:t>P</w:t>
      </w:r>
      <w:r w:rsidR="00971674" w:rsidRPr="009B1827">
        <w:rPr>
          <w:rFonts w:ascii="Garamond" w:hAnsi="Garamond" w:cs="Calibri"/>
          <w:color w:val="000000"/>
          <w:sz w:val="22"/>
          <w:szCs w:val="22"/>
        </w:rPr>
        <w:t>MI,</w:t>
      </w:r>
      <w:r w:rsidR="00A01DB5" w:rsidRPr="009B1827">
        <w:rPr>
          <w:rFonts w:ascii="Garamond" w:hAnsi="Garamond" w:cs="Calibri"/>
          <w:color w:val="000000"/>
          <w:sz w:val="22"/>
          <w:szCs w:val="22"/>
        </w:rPr>
        <w:t xml:space="preserve"> and key partners with information to reinforce strategically planned and executed continuous distribution of </w:t>
      </w:r>
      <w:r w:rsidR="00931C86" w:rsidRPr="009B1827">
        <w:rPr>
          <w:rFonts w:ascii="Garamond" w:hAnsi="Garamond" w:cs="Calibri"/>
          <w:color w:val="000000"/>
          <w:sz w:val="22"/>
          <w:szCs w:val="22"/>
        </w:rPr>
        <w:t>ITN</w:t>
      </w:r>
      <w:r w:rsidR="00A01DB5" w:rsidRPr="009B1827">
        <w:rPr>
          <w:rFonts w:ascii="Garamond" w:hAnsi="Garamond" w:cs="Calibri"/>
          <w:color w:val="000000"/>
          <w:sz w:val="22"/>
          <w:szCs w:val="22"/>
        </w:rPr>
        <w:t xml:space="preserve">s, informed by global best practice. </w:t>
      </w:r>
    </w:p>
    <w:p w14:paraId="61EBEF07" w14:textId="04875B7E" w:rsidR="00A01DB5" w:rsidRPr="009B1827" w:rsidRDefault="00A01DB5" w:rsidP="004261E7">
      <w:pPr>
        <w:spacing w:before="120" w:after="120"/>
        <w:jc w:val="both"/>
        <w:rPr>
          <w:rFonts w:ascii="Garamond" w:hAnsi="Garamond"/>
          <w:sz w:val="22"/>
          <w:szCs w:val="22"/>
        </w:rPr>
      </w:pPr>
      <w:r w:rsidRPr="009B1827">
        <w:rPr>
          <w:rFonts w:ascii="Garamond" w:hAnsi="Garamond"/>
          <w:b/>
          <w:bCs/>
          <w:snapToGrid w:val="0"/>
          <w:color w:val="000000"/>
          <w:sz w:val="22"/>
          <w:szCs w:val="22"/>
        </w:rPr>
        <w:t>Assessment design</w:t>
      </w:r>
      <w:r w:rsidRPr="009B1827">
        <w:rPr>
          <w:rFonts w:ascii="Garamond" w:hAnsi="Garamond"/>
          <w:snapToGrid w:val="0"/>
          <w:color w:val="000000"/>
          <w:sz w:val="22"/>
          <w:szCs w:val="22"/>
        </w:rPr>
        <w:t xml:space="preserve"> was guided by the continuous distribution guidance and tools which</w:t>
      </w:r>
      <w:r w:rsidR="00F60CAF" w:rsidRPr="009B1827">
        <w:rPr>
          <w:rFonts w:ascii="Garamond" w:hAnsi="Garamond"/>
          <w:snapToGrid w:val="0"/>
          <w:color w:val="000000"/>
          <w:sz w:val="22"/>
          <w:szCs w:val="22"/>
        </w:rPr>
        <w:t xml:space="preserve"> have been developed </w:t>
      </w:r>
      <w:r w:rsidRPr="009B1827">
        <w:rPr>
          <w:rFonts w:ascii="Garamond" w:hAnsi="Garamond"/>
          <w:snapToGrid w:val="0"/>
          <w:color w:val="000000"/>
          <w:sz w:val="22"/>
          <w:szCs w:val="22"/>
        </w:rPr>
        <w:t xml:space="preserve">and compiled with support of PMI </w:t>
      </w:r>
      <w:proofErr w:type="spellStart"/>
      <w:r w:rsidRPr="009B1827">
        <w:rPr>
          <w:rFonts w:ascii="Garamond" w:hAnsi="Garamond"/>
          <w:snapToGrid w:val="0"/>
          <w:color w:val="000000"/>
          <w:sz w:val="22"/>
          <w:szCs w:val="22"/>
        </w:rPr>
        <w:t>VectorWorks</w:t>
      </w:r>
      <w:proofErr w:type="spellEnd"/>
      <w:r w:rsidRPr="009B1827">
        <w:rPr>
          <w:rFonts w:ascii="Garamond" w:hAnsi="Garamond"/>
          <w:snapToGrid w:val="0"/>
          <w:color w:val="000000"/>
          <w:sz w:val="22"/>
          <w:szCs w:val="22"/>
        </w:rPr>
        <w:t xml:space="preserve"> at </w:t>
      </w:r>
      <w:hyperlink r:id="rId18" w:history="1">
        <w:r w:rsidR="00BF782A" w:rsidRPr="009B1827">
          <w:rPr>
            <w:rStyle w:val="Hyperlink"/>
            <w:rFonts w:ascii="Garamond" w:hAnsi="Garamond"/>
            <w:snapToGrid w:val="0"/>
            <w:sz w:val="22"/>
            <w:szCs w:val="22"/>
          </w:rPr>
          <w:t>www.continuousdistribution.org</w:t>
        </w:r>
      </w:hyperlink>
      <w:r w:rsidRPr="009B1827">
        <w:rPr>
          <w:rFonts w:ascii="Garamond" w:hAnsi="Garamond"/>
          <w:snapToGrid w:val="0"/>
          <w:color w:val="000000"/>
          <w:sz w:val="22"/>
          <w:szCs w:val="22"/>
        </w:rPr>
        <w:t xml:space="preserve">. Additionally, </w:t>
      </w:r>
      <w:r w:rsidR="00E75C07" w:rsidRPr="009B1827">
        <w:rPr>
          <w:rFonts w:ascii="Garamond" w:hAnsi="Garamond"/>
          <w:snapToGrid w:val="0"/>
          <w:color w:val="000000"/>
          <w:sz w:val="22"/>
          <w:szCs w:val="22"/>
        </w:rPr>
        <w:t xml:space="preserve">the design was guided by </w:t>
      </w:r>
      <w:r w:rsidRPr="009B1827">
        <w:rPr>
          <w:rFonts w:ascii="Garamond" w:hAnsi="Garamond"/>
          <w:snapToGrid w:val="0"/>
          <w:color w:val="000000"/>
          <w:sz w:val="22"/>
          <w:szCs w:val="22"/>
        </w:rPr>
        <w:t>the extensive set of global resources developed through the R</w:t>
      </w:r>
      <w:r w:rsidR="00BF782A" w:rsidRPr="009B1827">
        <w:rPr>
          <w:rFonts w:ascii="Garamond" w:hAnsi="Garamond"/>
          <w:snapToGrid w:val="0"/>
          <w:color w:val="000000"/>
          <w:sz w:val="22"/>
          <w:szCs w:val="22"/>
        </w:rPr>
        <w:t>oll Back Malaria (RBM)</w:t>
      </w:r>
      <w:r w:rsidRPr="009B1827">
        <w:rPr>
          <w:rFonts w:ascii="Garamond" w:hAnsi="Garamond"/>
          <w:snapToGrid w:val="0"/>
          <w:color w:val="000000"/>
          <w:sz w:val="22"/>
          <w:szCs w:val="22"/>
        </w:rPr>
        <w:t xml:space="preserve"> </w:t>
      </w:r>
      <w:r w:rsidR="00084267" w:rsidRPr="009B1827">
        <w:rPr>
          <w:rFonts w:ascii="Garamond" w:hAnsi="Garamond"/>
          <w:snapToGrid w:val="0"/>
          <w:color w:val="000000"/>
          <w:sz w:val="22"/>
          <w:szCs w:val="22"/>
        </w:rPr>
        <w:t>AMP</w:t>
      </w:r>
      <w:r w:rsidRPr="009B1827">
        <w:rPr>
          <w:rFonts w:ascii="Garamond" w:hAnsi="Garamond"/>
          <w:snapToGrid w:val="0"/>
          <w:color w:val="000000"/>
          <w:sz w:val="22"/>
          <w:szCs w:val="22"/>
        </w:rPr>
        <w:t xml:space="preserve"> partnership, which serve as foundational resources to guide effective </w:t>
      </w:r>
      <w:r w:rsidR="00931C86" w:rsidRPr="009B1827">
        <w:rPr>
          <w:rFonts w:ascii="Garamond" w:hAnsi="Garamond"/>
          <w:snapToGrid w:val="0"/>
          <w:color w:val="000000"/>
          <w:sz w:val="22"/>
          <w:szCs w:val="22"/>
        </w:rPr>
        <w:t>ITN</w:t>
      </w:r>
      <w:r w:rsidRPr="009B1827">
        <w:rPr>
          <w:rFonts w:ascii="Garamond" w:hAnsi="Garamond"/>
          <w:snapToGrid w:val="0"/>
          <w:color w:val="000000"/>
          <w:sz w:val="22"/>
          <w:szCs w:val="22"/>
        </w:rPr>
        <w:t xml:space="preserve"> distribution irrespective of channel. Two assessment teams conducted a series of semi-structured interviews with the support of a discussion guide</w:t>
      </w:r>
      <w:r w:rsidRPr="009B1827">
        <w:rPr>
          <w:rFonts w:ascii="Garamond" w:hAnsi="Garamond"/>
          <w:sz w:val="22"/>
          <w:szCs w:val="22"/>
          <w:lang w:val="en"/>
        </w:rPr>
        <w:t xml:space="preserve"> with the </w:t>
      </w:r>
      <w:r w:rsidR="00AC3518" w:rsidRPr="009B1827">
        <w:rPr>
          <w:rFonts w:ascii="Garamond" w:hAnsi="Garamond"/>
          <w:sz w:val="22"/>
          <w:szCs w:val="22"/>
          <w:lang w:val="en"/>
        </w:rPr>
        <w:t>Ministry of Health (</w:t>
      </w:r>
      <w:r w:rsidRPr="009B1827">
        <w:rPr>
          <w:rFonts w:ascii="Garamond" w:hAnsi="Garamond"/>
          <w:sz w:val="22"/>
          <w:szCs w:val="22"/>
          <w:lang w:val="en"/>
        </w:rPr>
        <w:t>MOH</w:t>
      </w:r>
      <w:r w:rsidR="00AC3518" w:rsidRPr="009B1827">
        <w:rPr>
          <w:rFonts w:ascii="Garamond" w:hAnsi="Garamond"/>
          <w:sz w:val="22"/>
          <w:szCs w:val="22"/>
          <w:lang w:val="en"/>
        </w:rPr>
        <w:t>)</w:t>
      </w:r>
      <w:r w:rsidRPr="009B1827">
        <w:rPr>
          <w:rFonts w:ascii="Garamond" w:hAnsi="Garamond"/>
          <w:sz w:val="22"/>
          <w:szCs w:val="22"/>
          <w:lang w:val="en"/>
        </w:rPr>
        <w:t xml:space="preserve"> and </w:t>
      </w:r>
      <w:r w:rsidR="00931C86" w:rsidRPr="009B1827">
        <w:rPr>
          <w:rFonts w:ascii="Garamond" w:hAnsi="Garamond"/>
          <w:sz w:val="22"/>
          <w:szCs w:val="22"/>
          <w:lang w:val="en"/>
        </w:rPr>
        <w:t>ITN</w:t>
      </w:r>
      <w:r w:rsidRPr="009B1827">
        <w:rPr>
          <w:rFonts w:ascii="Garamond" w:hAnsi="Garamond"/>
          <w:sz w:val="22"/>
          <w:szCs w:val="22"/>
          <w:lang w:val="en"/>
        </w:rPr>
        <w:t xml:space="preserve"> stakeholders.</w:t>
      </w:r>
      <w:r w:rsidR="00852F2D" w:rsidRPr="009B1827">
        <w:rPr>
          <w:rFonts w:ascii="Garamond" w:hAnsi="Garamond"/>
          <w:sz w:val="22"/>
          <w:szCs w:val="22"/>
          <w:lang w:val="en"/>
        </w:rPr>
        <w:t xml:space="preserve"> </w:t>
      </w:r>
      <w:r w:rsidR="00852F2D" w:rsidRPr="009B1827">
        <w:rPr>
          <w:rFonts w:ascii="Garamond" w:hAnsi="Garamond"/>
          <w:sz w:val="22"/>
          <w:szCs w:val="22"/>
        </w:rPr>
        <w:t xml:space="preserve">Assessment sites were selected </w:t>
      </w:r>
      <w:proofErr w:type="gramStart"/>
      <w:r w:rsidR="00852F2D" w:rsidRPr="009B1827">
        <w:rPr>
          <w:rFonts w:ascii="Garamond" w:hAnsi="Garamond"/>
          <w:sz w:val="22"/>
          <w:szCs w:val="22"/>
        </w:rPr>
        <w:t>on the basis of</w:t>
      </w:r>
      <w:proofErr w:type="gramEnd"/>
      <w:r w:rsidR="00852F2D" w:rsidRPr="009B1827">
        <w:rPr>
          <w:rFonts w:ascii="Garamond" w:hAnsi="Garamond"/>
          <w:sz w:val="22"/>
          <w:szCs w:val="22"/>
        </w:rPr>
        <w:t xml:space="preserve"> health service usage, accessibility, and security.</w:t>
      </w:r>
    </w:p>
    <w:p w14:paraId="5EB0BF3C" w14:textId="1E5FC575" w:rsidR="004A57D7" w:rsidRPr="009B1827" w:rsidRDefault="00A01DB5" w:rsidP="004261E7">
      <w:pPr>
        <w:spacing w:before="120" w:after="120"/>
        <w:jc w:val="both"/>
        <w:rPr>
          <w:rFonts w:ascii="Garamond" w:hAnsi="Garamond"/>
          <w:sz w:val="22"/>
          <w:szCs w:val="22"/>
          <w:lang w:val="en"/>
        </w:rPr>
      </w:pPr>
      <w:r w:rsidRPr="009B1827">
        <w:rPr>
          <w:rFonts w:ascii="Garamond" w:hAnsi="Garamond"/>
          <w:b/>
          <w:bCs/>
          <w:sz w:val="22"/>
          <w:szCs w:val="22"/>
          <w:lang w:val="en"/>
        </w:rPr>
        <w:t>Channels of focus</w:t>
      </w:r>
      <w:r w:rsidRPr="009B1827">
        <w:rPr>
          <w:rFonts w:ascii="Garamond" w:hAnsi="Garamond"/>
          <w:sz w:val="22"/>
          <w:szCs w:val="22"/>
          <w:lang w:val="en"/>
        </w:rPr>
        <w:t xml:space="preserve"> </w:t>
      </w:r>
      <w:r w:rsidRPr="009B1827">
        <w:rPr>
          <w:rFonts w:ascii="Garamond" w:hAnsi="Garamond"/>
          <w:sz w:val="22"/>
          <w:szCs w:val="22"/>
        </w:rPr>
        <w:t>includ</w:t>
      </w:r>
      <w:r w:rsidR="00674E43" w:rsidRPr="009B1827">
        <w:rPr>
          <w:rFonts w:ascii="Garamond" w:hAnsi="Garamond"/>
          <w:sz w:val="22"/>
          <w:szCs w:val="22"/>
        </w:rPr>
        <w:t>e</w:t>
      </w:r>
      <w:r w:rsidRPr="009B1827">
        <w:rPr>
          <w:rFonts w:ascii="Garamond" w:hAnsi="Garamond"/>
          <w:sz w:val="22"/>
          <w:szCs w:val="22"/>
          <w:lang w:val="en"/>
        </w:rPr>
        <w:t xml:space="preserve"> </w:t>
      </w:r>
      <w:r w:rsidR="00F37288" w:rsidRPr="009B1827">
        <w:rPr>
          <w:rFonts w:ascii="Garamond" w:hAnsi="Garamond"/>
          <w:sz w:val="22"/>
          <w:szCs w:val="22"/>
          <w:lang w:val="en"/>
        </w:rPr>
        <w:t>ANC</w:t>
      </w:r>
      <w:r w:rsidRPr="009B1827">
        <w:rPr>
          <w:rFonts w:ascii="Garamond" w:hAnsi="Garamond"/>
          <w:sz w:val="22"/>
          <w:szCs w:val="22"/>
          <w:lang w:val="en"/>
        </w:rPr>
        <w:t xml:space="preserve"> and vaccination (through child health consultation) systems</w:t>
      </w:r>
      <w:r w:rsidR="00E75C07" w:rsidRPr="009B1827">
        <w:rPr>
          <w:rFonts w:ascii="Garamond" w:hAnsi="Garamond"/>
          <w:sz w:val="22"/>
          <w:szCs w:val="22"/>
          <w:lang w:val="en"/>
        </w:rPr>
        <w:t>,</w:t>
      </w:r>
      <w:r w:rsidRPr="009B1827">
        <w:rPr>
          <w:rFonts w:ascii="Garamond" w:hAnsi="Garamond"/>
          <w:sz w:val="22"/>
          <w:szCs w:val="22"/>
          <w:lang w:val="en"/>
        </w:rPr>
        <w:t xml:space="preserve"> as well as an exploration of other potential continuous distribution channels</w:t>
      </w:r>
      <w:r w:rsidR="00E75C07" w:rsidRPr="009B1827">
        <w:rPr>
          <w:rFonts w:ascii="Garamond" w:hAnsi="Garamond"/>
          <w:sz w:val="22"/>
          <w:szCs w:val="22"/>
          <w:lang w:val="en"/>
        </w:rPr>
        <w:t>,</w:t>
      </w:r>
      <w:r w:rsidRPr="009B1827">
        <w:rPr>
          <w:rFonts w:ascii="Garamond" w:hAnsi="Garamond"/>
          <w:sz w:val="22"/>
          <w:szCs w:val="22"/>
          <w:lang w:val="en"/>
        </w:rPr>
        <w:t xml:space="preserve"> including school- and community-based distribution, rural advanced </w:t>
      </w:r>
      <w:r w:rsidR="004658E8" w:rsidRPr="009B1827">
        <w:rPr>
          <w:rFonts w:ascii="Garamond" w:hAnsi="Garamond"/>
          <w:sz w:val="22"/>
          <w:szCs w:val="22"/>
          <w:lang w:val="en"/>
        </w:rPr>
        <w:t>strategies in which health center staff travel to</w:t>
      </w:r>
      <w:r w:rsidR="00193B5B" w:rsidRPr="009B1827">
        <w:rPr>
          <w:rFonts w:ascii="Garamond" w:hAnsi="Garamond"/>
          <w:sz w:val="22"/>
          <w:szCs w:val="22"/>
          <w:lang w:val="en"/>
        </w:rPr>
        <w:t xml:space="preserve"> provide ANC, vaccination, and other health services </w:t>
      </w:r>
      <w:r w:rsidR="00C77B88" w:rsidRPr="009B1827">
        <w:rPr>
          <w:rFonts w:ascii="Garamond" w:hAnsi="Garamond"/>
          <w:sz w:val="22"/>
          <w:szCs w:val="22"/>
          <w:lang w:val="en"/>
        </w:rPr>
        <w:t xml:space="preserve">in </w:t>
      </w:r>
      <w:r w:rsidR="00193B5B" w:rsidRPr="009B1827">
        <w:rPr>
          <w:rFonts w:ascii="Garamond" w:hAnsi="Garamond"/>
          <w:sz w:val="22"/>
          <w:szCs w:val="22"/>
          <w:lang w:val="en"/>
        </w:rPr>
        <w:t>remote locations where populations are farther away from facility-based services, a</w:t>
      </w:r>
      <w:r w:rsidRPr="009B1827">
        <w:rPr>
          <w:rFonts w:ascii="Garamond" w:hAnsi="Garamond"/>
          <w:sz w:val="22"/>
          <w:szCs w:val="22"/>
          <w:lang w:val="en"/>
        </w:rPr>
        <w:t>nd mobile strategies</w:t>
      </w:r>
      <w:r w:rsidR="00193B5B" w:rsidRPr="009B1827">
        <w:rPr>
          <w:rFonts w:ascii="Garamond" w:hAnsi="Garamond"/>
          <w:sz w:val="22"/>
          <w:szCs w:val="22"/>
          <w:lang w:val="en"/>
        </w:rPr>
        <w:t xml:space="preserve"> provided by district health teams</w:t>
      </w:r>
      <w:r w:rsidRPr="009B1827">
        <w:rPr>
          <w:rFonts w:ascii="Garamond" w:hAnsi="Garamond"/>
          <w:sz w:val="22"/>
          <w:szCs w:val="22"/>
          <w:lang w:val="en"/>
        </w:rPr>
        <w:t xml:space="preserve">. </w:t>
      </w:r>
    </w:p>
    <w:p w14:paraId="6FBC1CA8" w14:textId="44E33473" w:rsidR="00852F2D" w:rsidRPr="009B1827" w:rsidRDefault="00564CC5" w:rsidP="004261E7">
      <w:pPr>
        <w:spacing w:before="120" w:after="120"/>
        <w:jc w:val="both"/>
        <w:rPr>
          <w:rFonts w:ascii="Garamond" w:hAnsi="Garamond"/>
          <w:sz w:val="22"/>
          <w:szCs w:val="22"/>
          <w:lang w:val="en"/>
        </w:rPr>
      </w:pPr>
      <w:r w:rsidRPr="009B1827">
        <w:rPr>
          <w:rFonts w:ascii="Garamond" w:hAnsi="Garamond"/>
          <w:sz w:val="22"/>
          <w:szCs w:val="22"/>
          <w:lang w:val="en"/>
        </w:rPr>
        <w:t xml:space="preserve">The VectorLink team </w:t>
      </w:r>
      <w:r w:rsidR="00C07DAF" w:rsidRPr="009B1827">
        <w:rPr>
          <w:rFonts w:ascii="Garamond" w:hAnsi="Garamond"/>
          <w:sz w:val="22"/>
          <w:szCs w:val="22"/>
          <w:lang w:val="en"/>
        </w:rPr>
        <w:t>has shared</w:t>
      </w:r>
      <w:r w:rsidRPr="009B1827">
        <w:rPr>
          <w:rFonts w:ascii="Garamond" w:hAnsi="Garamond"/>
          <w:sz w:val="22"/>
          <w:szCs w:val="22"/>
          <w:lang w:val="en"/>
        </w:rPr>
        <w:t xml:space="preserve"> the assessment approach</w:t>
      </w:r>
      <w:r w:rsidR="00852F2D" w:rsidRPr="009B1827">
        <w:rPr>
          <w:rFonts w:ascii="Garamond" w:hAnsi="Garamond"/>
          <w:sz w:val="22"/>
          <w:szCs w:val="22"/>
          <w:lang w:val="en"/>
        </w:rPr>
        <w:t xml:space="preserve">, </w:t>
      </w:r>
      <w:proofErr w:type="gramStart"/>
      <w:r w:rsidR="00852F2D" w:rsidRPr="009B1827">
        <w:rPr>
          <w:rFonts w:ascii="Garamond" w:hAnsi="Garamond"/>
          <w:sz w:val="22"/>
          <w:szCs w:val="22"/>
          <w:lang w:val="en"/>
        </w:rPr>
        <w:t>observations</w:t>
      </w:r>
      <w:proofErr w:type="gramEnd"/>
      <w:r w:rsidRPr="009B1827">
        <w:rPr>
          <w:rFonts w:ascii="Garamond" w:hAnsi="Garamond"/>
          <w:sz w:val="22"/>
          <w:szCs w:val="22"/>
          <w:lang w:val="en"/>
        </w:rPr>
        <w:t xml:space="preserve"> and </w:t>
      </w:r>
      <w:r w:rsidR="00852F2D" w:rsidRPr="009B1827">
        <w:rPr>
          <w:rFonts w:ascii="Garamond" w:hAnsi="Garamond"/>
          <w:sz w:val="22"/>
          <w:szCs w:val="22"/>
          <w:lang w:val="en"/>
        </w:rPr>
        <w:t>recommendations</w:t>
      </w:r>
      <w:r w:rsidRPr="009B1827">
        <w:rPr>
          <w:rFonts w:ascii="Garamond" w:hAnsi="Garamond"/>
          <w:sz w:val="22"/>
          <w:szCs w:val="22"/>
          <w:lang w:val="en"/>
        </w:rPr>
        <w:t xml:space="preserve"> across countries with global partners </w:t>
      </w:r>
      <w:r w:rsidR="003D786B" w:rsidRPr="009B1827">
        <w:rPr>
          <w:rFonts w:ascii="Garamond" w:hAnsi="Garamond"/>
          <w:sz w:val="22"/>
          <w:szCs w:val="22"/>
          <w:lang w:val="en"/>
        </w:rPr>
        <w:t>in order t</w:t>
      </w:r>
      <w:r w:rsidRPr="009B1827">
        <w:rPr>
          <w:rFonts w:ascii="Garamond" w:hAnsi="Garamond"/>
          <w:sz w:val="22"/>
          <w:szCs w:val="22"/>
          <w:lang w:val="en"/>
        </w:rPr>
        <w:t>o contribute to global knowledge</w:t>
      </w:r>
      <w:r w:rsidR="00F53F44" w:rsidRPr="009B1827">
        <w:rPr>
          <w:rFonts w:ascii="Garamond" w:hAnsi="Garamond"/>
          <w:sz w:val="22"/>
          <w:szCs w:val="22"/>
          <w:lang w:val="en"/>
        </w:rPr>
        <w:t xml:space="preserve">. </w:t>
      </w:r>
      <w:r w:rsidR="00852F2D" w:rsidRPr="009B1827">
        <w:rPr>
          <w:rFonts w:ascii="Garamond" w:hAnsi="Garamond"/>
          <w:sz w:val="22"/>
          <w:szCs w:val="22"/>
          <w:lang w:val="en"/>
        </w:rPr>
        <w:t xml:space="preserve">A set of </w:t>
      </w:r>
      <w:r w:rsidR="00BB79A7" w:rsidRPr="009B1827">
        <w:rPr>
          <w:rFonts w:ascii="Garamond" w:hAnsi="Garamond"/>
          <w:sz w:val="22"/>
          <w:szCs w:val="22"/>
          <w:lang w:val="en"/>
        </w:rPr>
        <w:t>Assessment T</w:t>
      </w:r>
      <w:proofErr w:type="spellStart"/>
      <w:r w:rsidR="00852F2D" w:rsidRPr="009B1827">
        <w:rPr>
          <w:rFonts w:ascii="Garamond" w:hAnsi="Garamond"/>
          <w:sz w:val="22"/>
          <w:szCs w:val="22"/>
        </w:rPr>
        <w:t>ools</w:t>
      </w:r>
      <w:proofErr w:type="spellEnd"/>
      <w:r w:rsidR="00852F2D" w:rsidRPr="009B1827">
        <w:rPr>
          <w:rFonts w:ascii="Garamond" w:hAnsi="Garamond"/>
          <w:sz w:val="22"/>
          <w:szCs w:val="22"/>
        </w:rPr>
        <w:t xml:space="preserve"> </w:t>
      </w:r>
      <w:r w:rsidR="00674E43" w:rsidRPr="009B1827">
        <w:rPr>
          <w:rFonts w:ascii="Garamond" w:hAnsi="Garamond"/>
          <w:sz w:val="22"/>
          <w:szCs w:val="22"/>
        </w:rPr>
        <w:t xml:space="preserve">for this toolkit </w:t>
      </w:r>
      <w:r w:rsidR="00852F2D" w:rsidRPr="009B1827">
        <w:rPr>
          <w:rFonts w:ascii="Garamond" w:hAnsi="Garamond"/>
          <w:sz w:val="22"/>
          <w:szCs w:val="22"/>
        </w:rPr>
        <w:t xml:space="preserve">is </w:t>
      </w:r>
      <w:r w:rsidR="00BB79A7" w:rsidRPr="009B1827">
        <w:rPr>
          <w:rFonts w:ascii="Garamond" w:hAnsi="Garamond"/>
          <w:sz w:val="22"/>
          <w:szCs w:val="22"/>
        </w:rPr>
        <w:t>available</w:t>
      </w:r>
      <w:r w:rsidR="00852F2D" w:rsidRPr="009B1827">
        <w:rPr>
          <w:rFonts w:ascii="Garamond" w:hAnsi="Garamond"/>
          <w:sz w:val="22"/>
          <w:szCs w:val="22"/>
        </w:rPr>
        <w:t xml:space="preserve"> at </w:t>
      </w:r>
      <w:hyperlink r:id="rId19" w:history="1">
        <w:r w:rsidR="00257F09" w:rsidRPr="009B1827">
          <w:rPr>
            <w:rStyle w:val="Hyperlink"/>
            <w:rFonts w:ascii="Garamond" w:hAnsi="Garamond"/>
            <w:sz w:val="22"/>
            <w:szCs w:val="22"/>
          </w:rPr>
          <w:t>www.Continousdistribution.org</w:t>
        </w:r>
      </w:hyperlink>
      <w:r w:rsidR="0043719B">
        <w:rPr>
          <w:rFonts w:ascii="Garamond" w:hAnsi="Garamond"/>
          <w:sz w:val="22"/>
          <w:szCs w:val="22"/>
        </w:rPr>
        <w:t>,</w:t>
      </w:r>
      <w:r w:rsidR="00293D46" w:rsidRPr="009B1827">
        <w:rPr>
          <w:rFonts w:ascii="Garamond" w:hAnsi="Garamond"/>
          <w:sz w:val="22"/>
          <w:szCs w:val="22"/>
        </w:rPr>
        <w:t xml:space="preserve"> where there</w:t>
      </w:r>
      <w:r w:rsidR="00257F09" w:rsidRPr="009B1827">
        <w:rPr>
          <w:rFonts w:ascii="Garamond" w:hAnsi="Garamond"/>
          <w:sz w:val="22"/>
          <w:szCs w:val="22"/>
        </w:rPr>
        <w:t xml:space="preserve"> is also a link to</w:t>
      </w:r>
      <w:r w:rsidR="00293D46" w:rsidRPr="009B1827">
        <w:rPr>
          <w:rFonts w:ascii="Garamond" w:hAnsi="Garamond"/>
          <w:sz w:val="22"/>
          <w:szCs w:val="22"/>
        </w:rPr>
        <w:t xml:space="preserve"> </w:t>
      </w:r>
      <w:r w:rsidR="00257F09" w:rsidRPr="009B1827">
        <w:rPr>
          <w:rFonts w:ascii="Garamond" w:hAnsi="Garamond"/>
          <w:sz w:val="22"/>
          <w:szCs w:val="22"/>
        </w:rPr>
        <w:t xml:space="preserve">the </w:t>
      </w:r>
      <w:r w:rsidR="001757A0" w:rsidRPr="009B1827">
        <w:rPr>
          <w:rFonts w:ascii="Garamond" w:hAnsi="Garamond"/>
          <w:color w:val="252423"/>
          <w:sz w:val="22"/>
          <w:szCs w:val="22"/>
          <w:shd w:val="clear" w:color="auto" w:fill="FFFFFF"/>
        </w:rPr>
        <w:t>V</w:t>
      </w:r>
      <w:r w:rsidR="005518F1" w:rsidRPr="009B1827">
        <w:rPr>
          <w:rFonts w:ascii="Garamond" w:hAnsi="Garamond"/>
          <w:sz w:val="22"/>
          <w:szCs w:val="22"/>
        </w:rPr>
        <w:t>ector</w:t>
      </w:r>
      <w:r w:rsidR="001757A0" w:rsidRPr="009B1827">
        <w:rPr>
          <w:rFonts w:ascii="Garamond" w:hAnsi="Garamond"/>
          <w:sz w:val="22"/>
          <w:szCs w:val="22"/>
        </w:rPr>
        <w:t xml:space="preserve"> </w:t>
      </w:r>
      <w:proofErr w:type="spellStart"/>
      <w:r w:rsidR="001757A0" w:rsidRPr="009B1827">
        <w:rPr>
          <w:rFonts w:ascii="Garamond" w:hAnsi="Garamond"/>
          <w:sz w:val="22"/>
          <w:szCs w:val="22"/>
        </w:rPr>
        <w:t>Le</w:t>
      </w:r>
      <w:r w:rsidR="005518F1" w:rsidRPr="009B1827">
        <w:rPr>
          <w:rFonts w:ascii="Garamond" w:hAnsi="Garamond"/>
          <w:sz w:val="22"/>
          <w:szCs w:val="22"/>
        </w:rPr>
        <w:t>arning</w:t>
      </w:r>
      <w:r w:rsidR="001757A0" w:rsidRPr="009B1827">
        <w:rPr>
          <w:rFonts w:ascii="Garamond" w:hAnsi="Garamond"/>
          <w:sz w:val="22"/>
          <w:szCs w:val="22"/>
        </w:rPr>
        <w:t>X</w:t>
      </w:r>
      <w:r w:rsidR="005518F1" w:rsidRPr="009B1827">
        <w:rPr>
          <w:rFonts w:ascii="Garamond" w:hAnsi="Garamond"/>
          <w:sz w:val="22"/>
          <w:szCs w:val="22"/>
        </w:rPr>
        <w:t>change</w:t>
      </w:r>
      <w:proofErr w:type="spellEnd"/>
      <w:r w:rsidR="005518F1" w:rsidRPr="009B1827">
        <w:rPr>
          <w:rFonts w:ascii="Garamond" w:hAnsi="Garamond"/>
          <w:sz w:val="22"/>
          <w:szCs w:val="22"/>
        </w:rPr>
        <w:t xml:space="preserve"> </w:t>
      </w:r>
      <w:r w:rsidR="00257F09" w:rsidRPr="009B1827">
        <w:rPr>
          <w:rFonts w:ascii="Garamond" w:hAnsi="Garamond"/>
          <w:sz w:val="22"/>
          <w:szCs w:val="22"/>
        </w:rPr>
        <w:t>site</w:t>
      </w:r>
      <w:r w:rsidR="000663E2" w:rsidRPr="009B1827">
        <w:rPr>
          <w:rFonts w:ascii="Garamond" w:hAnsi="Garamond"/>
          <w:sz w:val="22"/>
          <w:szCs w:val="22"/>
        </w:rPr>
        <w:t xml:space="preserve"> (</w:t>
      </w:r>
      <w:hyperlink r:id="rId20" w:history="1">
        <w:r w:rsidR="000663E2" w:rsidRPr="009B1827">
          <w:rPr>
            <w:rStyle w:val="Hyperlink"/>
            <w:rFonts w:ascii="Garamond" w:hAnsi="Garamond"/>
            <w:sz w:val="22"/>
            <w:szCs w:val="22"/>
          </w:rPr>
          <w:t>https://www.vectorlearningxchange.com/</w:t>
        </w:r>
      </w:hyperlink>
      <w:r w:rsidR="000663E2" w:rsidRPr="0043719B">
        <w:rPr>
          <w:rStyle w:val="Hyperlink"/>
          <w:rFonts w:ascii="Garamond" w:hAnsi="Garamond"/>
          <w:sz w:val="22"/>
          <w:szCs w:val="22"/>
        </w:rPr>
        <w:t>)</w:t>
      </w:r>
      <w:r w:rsidR="00852F2D" w:rsidRPr="0043719B">
        <w:rPr>
          <w:rFonts w:ascii="Garamond" w:hAnsi="Garamond"/>
          <w:b/>
          <w:bCs/>
          <w:sz w:val="22"/>
          <w:szCs w:val="22"/>
        </w:rPr>
        <w:t xml:space="preserve"> </w:t>
      </w:r>
      <w:r w:rsidR="00852F2D" w:rsidRPr="0043719B">
        <w:rPr>
          <w:rFonts w:ascii="Garamond" w:hAnsi="Garamond"/>
          <w:sz w:val="22"/>
          <w:szCs w:val="22"/>
        </w:rPr>
        <w:t>to</w:t>
      </w:r>
      <w:r w:rsidR="00852F2D" w:rsidRPr="009B1827">
        <w:rPr>
          <w:rFonts w:ascii="Garamond" w:hAnsi="Garamond"/>
          <w:sz w:val="22"/>
          <w:szCs w:val="22"/>
        </w:rPr>
        <w:t xml:space="preserve"> support the planning, implementation and reporting of the ITN Continuous Distribution Assessment.</w:t>
      </w:r>
    </w:p>
    <w:p w14:paraId="3CDB796D" w14:textId="77777777" w:rsidR="007A2D84" w:rsidRPr="00BB4920" w:rsidRDefault="007A2D84" w:rsidP="00E3773F">
      <w:pPr>
        <w:pStyle w:val="1-DocText"/>
      </w:pPr>
      <w:r w:rsidRPr="00BB4920">
        <w:tab/>
      </w:r>
    </w:p>
    <w:p w14:paraId="4ACE324D" w14:textId="77777777" w:rsidR="007A2D84" w:rsidRPr="00BB4920" w:rsidRDefault="007A2D84" w:rsidP="00E3773F">
      <w:pPr>
        <w:pStyle w:val="1-DocText"/>
        <w:sectPr w:rsidR="007A2D84" w:rsidRPr="00BB4920" w:rsidSect="00415A82">
          <w:headerReference w:type="default" r:id="rId21"/>
          <w:footerReference w:type="default" r:id="rId22"/>
          <w:type w:val="oddPage"/>
          <w:pgSz w:w="12240" w:h="15840" w:code="1"/>
          <w:pgMar w:top="1440" w:right="1440" w:bottom="1296" w:left="1440" w:header="720" w:footer="720" w:gutter="0"/>
          <w:pgBorders w:offsetFrom="page">
            <w:bottom w:val="single" w:sz="2" w:space="24" w:color="002A6C"/>
          </w:pgBorders>
          <w:pgNumType w:fmt="lowerRoman"/>
          <w:cols w:space="360"/>
        </w:sectPr>
      </w:pPr>
    </w:p>
    <w:p w14:paraId="636C81E5" w14:textId="758EFE35" w:rsidR="007A2D84" w:rsidRPr="00BB4920" w:rsidRDefault="004C3798" w:rsidP="003A4BD3">
      <w:pPr>
        <w:pStyle w:val="Heading1"/>
      </w:pPr>
      <w:bookmarkStart w:id="11" w:name="_Toc43130659"/>
      <w:r>
        <w:lastRenderedPageBreak/>
        <w:t>R</w:t>
      </w:r>
      <w:r w:rsidR="005610E0">
        <w:t>ationale</w:t>
      </w:r>
      <w:bookmarkEnd w:id="11"/>
    </w:p>
    <w:p w14:paraId="4D3E6328" w14:textId="77777777" w:rsidR="00504E1B" w:rsidRDefault="00504E1B" w:rsidP="00504E1B">
      <w:pPr>
        <w:pStyle w:val="Heading2"/>
        <w:numPr>
          <w:ilvl w:val="0"/>
          <w:numId w:val="0"/>
        </w:numPr>
        <w:spacing w:before="0" w:after="0"/>
        <w:ind w:left="720"/>
      </w:pPr>
      <w:bookmarkStart w:id="12" w:name="_Toc525834976"/>
      <w:bookmarkStart w:id="13" w:name="_Toc522122491"/>
    </w:p>
    <w:p w14:paraId="5A8188A4" w14:textId="64384E27" w:rsidR="000D37A8" w:rsidRDefault="00CC4A6F" w:rsidP="00A24EAA">
      <w:pPr>
        <w:pStyle w:val="Heading2"/>
      </w:pPr>
      <w:bookmarkStart w:id="14" w:name="_Toc43130660"/>
      <w:r>
        <w:t>M</w:t>
      </w:r>
      <w:r w:rsidR="00DF63EE">
        <w:t xml:space="preserve">alaria </w:t>
      </w:r>
      <w:r>
        <w:t>B</w:t>
      </w:r>
      <w:r w:rsidR="00DF63EE">
        <w:t>urden</w:t>
      </w:r>
      <w:bookmarkEnd w:id="12"/>
      <w:bookmarkEnd w:id="14"/>
      <w:r w:rsidR="00DF63EE">
        <w:t xml:space="preserve"> </w:t>
      </w:r>
    </w:p>
    <w:p w14:paraId="3F75108F" w14:textId="6691EC87" w:rsidR="005518F1" w:rsidRPr="00BE62FD" w:rsidRDefault="001D3521" w:rsidP="00B41EA8">
      <w:pPr>
        <w:spacing w:before="120" w:after="120"/>
        <w:jc w:val="both"/>
        <w:rPr>
          <w:rFonts w:ascii="Garamond" w:hAnsi="Garamond"/>
          <w:sz w:val="22"/>
          <w:szCs w:val="22"/>
          <w:shd w:val="clear" w:color="auto" w:fill="FFFFFF"/>
        </w:rPr>
      </w:pPr>
      <w:r w:rsidRPr="00BE62FD">
        <w:rPr>
          <w:rFonts w:ascii="Garamond" w:hAnsi="Garamond"/>
          <w:sz w:val="22"/>
          <w:szCs w:val="22"/>
          <w:shd w:val="clear" w:color="auto" w:fill="FFFFFF"/>
        </w:rPr>
        <w:t>As highlighted by the RBM Partnership to End Malaria in a World Malaria Report 2019, “estimates show that in 2018, global efforts saved almost 600,000 lives per year and prevented almost 100 million malaria cases per year compared to 2000.”</w:t>
      </w:r>
      <w:r w:rsidRPr="00BE62FD">
        <w:rPr>
          <w:rStyle w:val="FootnoteReference"/>
          <w:rFonts w:ascii="Garamond" w:hAnsi="Garamond"/>
          <w:sz w:val="22"/>
          <w:szCs w:val="22"/>
          <w:shd w:val="clear" w:color="auto" w:fill="FFFFFF"/>
        </w:rPr>
        <w:footnoteReference w:id="6"/>
      </w:r>
      <w:r w:rsidR="00504E1B" w:rsidRPr="00BE62FD">
        <w:rPr>
          <w:rFonts w:ascii="Garamond" w:hAnsi="Garamond"/>
          <w:sz w:val="22"/>
          <w:szCs w:val="22"/>
          <w:shd w:val="clear" w:color="auto" w:fill="FFFFFF"/>
        </w:rPr>
        <w:t xml:space="preserve"> </w:t>
      </w:r>
      <w:r w:rsidR="005518F1" w:rsidRPr="00BE62FD">
        <w:rPr>
          <w:rFonts w:ascii="Garamond" w:hAnsi="Garamond" w:cs="Arial"/>
          <w:sz w:val="22"/>
          <w:szCs w:val="22"/>
          <w:shd w:val="clear" w:color="auto" w:fill="FFFFFF"/>
        </w:rPr>
        <w:t xml:space="preserve"> It is estimated that 68% of the 663 million </w:t>
      </w:r>
      <w:r w:rsidR="005518F1" w:rsidRPr="00BE62FD">
        <w:rPr>
          <w:rStyle w:val="Strong"/>
          <w:rFonts w:ascii="Garamond" w:hAnsi="Garamond" w:cs="Arial"/>
          <w:sz w:val="22"/>
          <w:szCs w:val="22"/>
        </w:rPr>
        <w:t>cases averted</w:t>
      </w:r>
      <w:r w:rsidR="005518F1" w:rsidRPr="00BE62FD">
        <w:rPr>
          <w:rFonts w:ascii="Garamond" w:hAnsi="Garamond" w:cs="Arial"/>
          <w:sz w:val="22"/>
          <w:szCs w:val="22"/>
          <w:shd w:val="clear" w:color="auto" w:fill="FFFFFF"/>
        </w:rPr>
        <w:t xml:space="preserve"> since 2000 have been due to </w:t>
      </w:r>
      <w:r w:rsidR="00736E1E" w:rsidRPr="00BE62FD">
        <w:rPr>
          <w:rFonts w:ascii="Garamond" w:hAnsi="Garamond" w:cs="Arial"/>
          <w:sz w:val="22"/>
          <w:szCs w:val="22"/>
          <w:shd w:val="clear" w:color="auto" w:fill="FFFFFF"/>
        </w:rPr>
        <w:t>ITNs</w:t>
      </w:r>
      <w:r w:rsidR="005518F1" w:rsidRPr="00BE62FD">
        <w:rPr>
          <w:rStyle w:val="FootnoteReference"/>
          <w:rFonts w:ascii="Garamond" w:hAnsi="Garamond" w:cs="Arial"/>
          <w:sz w:val="22"/>
          <w:szCs w:val="22"/>
          <w:shd w:val="clear" w:color="auto" w:fill="FFFFFF"/>
        </w:rPr>
        <w:footnoteReference w:id="7"/>
      </w:r>
      <w:r w:rsidR="005518F1" w:rsidRPr="00BE62FD">
        <w:rPr>
          <w:rFonts w:ascii="Garamond" w:hAnsi="Garamond" w:cs="Arial"/>
          <w:sz w:val="22"/>
          <w:szCs w:val="22"/>
          <w:shd w:val="clear" w:color="auto" w:fill="FFFFFF"/>
        </w:rPr>
        <w:t>.</w:t>
      </w:r>
    </w:p>
    <w:p w14:paraId="52E4E552" w14:textId="6758E300" w:rsidR="00E876A2" w:rsidRPr="00504E1B" w:rsidRDefault="001D3521" w:rsidP="00B41EA8">
      <w:pPr>
        <w:spacing w:before="120" w:after="120"/>
        <w:jc w:val="both"/>
        <w:rPr>
          <w:rFonts w:ascii="Garamond" w:hAnsi="Garamond"/>
          <w:color w:val="000000" w:themeColor="text1"/>
          <w:sz w:val="22"/>
          <w:szCs w:val="22"/>
        </w:rPr>
      </w:pPr>
      <w:r w:rsidRPr="00504E1B">
        <w:rPr>
          <w:rFonts w:ascii="Garamond" w:hAnsi="Garamond" w:cstheme="minorHAnsi"/>
          <w:color w:val="000000" w:themeColor="text1"/>
          <w:sz w:val="22"/>
          <w:szCs w:val="22"/>
          <w:shd w:val="clear" w:color="auto" w:fill="FFFFFF"/>
        </w:rPr>
        <w:t xml:space="preserve">Alongside these impressive gains, the global malaria community is concerned that these </w:t>
      </w:r>
      <w:r w:rsidR="00356DF7">
        <w:rPr>
          <w:rFonts w:ascii="Garamond" w:hAnsi="Garamond" w:cstheme="minorHAnsi"/>
          <w:color w:val="000000" w:themeColor="text1"/>
          <w:sz w:val="22"/>
          <w:szCs w:val="22"/>
          <w:shd w:val="clear" w:color="auto" w:fill="FFFFFF"/>
        </w:rPr>
        <w:t>results</w:t>
      </w:r>
      <w:r w:rsidRPr="00504E1B">
        <w:rPr>
          <w:rFonts w:ascii="Garamond" w:hAnsi="Garamond" w:cstheme="minorHAnsi"/>
          <w:color w:val="000000" w:themeColor="text1"/>
          <w:sz w:val="22"/>
          <w:szCs w:val="22"/>
          <w:shd w:val="clear" w:color="auto" w:fill="FFFFFF"/>
        </w:rPr>
        <w:t xml:space="preserve"> are plateauing, as reductions in the rate of malaria cases have dramatically declined.</w:t>
      </w:r>
      <w:r w:rsidRPr="00504E1B">
        <w:rPr>
          <w:rStyle w:val="FootnoteReference"/>
          <w:rFonts w:ascii="Garamond" w:hAnsi="Garamond" w:cstheme="minorHAnsi"/>
          <w:color w:val="000000" w:themeColor="text1"/>
          <w:sz w:val="22"/>
          <w:szCs w:val="22"/>
          <w:shd w:val="clear" w:color="auto" w:fill="FFFFFF"/>
        </w:rPr>
        <w:footnoteReference w:id="8"/>
      </w:r>
      <w:r w:rsidR="00977D8D">
        <w:rPr>
          <w:rFonts w:ascii="Garamond" w:hAnsi="Garamond" w:cstheme="minorHAnsi"/>
          <w:color w:val="000000" w:themeColor="text1"/>
          <w:sz w:val="22"/>
          <w:szCs w:val="22"/>
          <w:shd w:val="clear" w:color="auto" w:fill="FFFFFF"/>
        </w:rPr>
        <w:t xml:space="preserve"> </w:t>
      </w:r>
      <w:r w:rsidR="00E876A2" w:rsidRPr="00504E1B">
        <w:rPr>
          <w:rFonts w:ascii="Garamond" w:hAnsi="Garamond" w:cstheme="minorHAnsi"/>
          <w:color w:val="000000" w:themeColor="text1"/>
          <w:sz w:val="22"/>
          <w:szCs w:val="22"/>
          <w:shd w:val="clear" w:color="auto" w:fill="FFFFFF"/>
        </w:rPr>
        <w:t xml:space="preserve">Additionally, the 2019 report from the World Health </w:t>
      </w:r>
      <w:proofErr w:type="spellStart"/>
      <w:r w:rsidR="00E876A2" w:rsidRPr="00504E1B">
        <w:rPr>
          <w:rFonts w:ascii="Garamond" w:hAnsi="Garamond" w:cstheme="minorHAnsi"/>
          <w:color w:val="000000" w:themeColor="text1"/>
          <w:sz w:val="22"/>
          <w:szCs w:val="22"/>
          <w:shd w:val="clear" w:color="auto" w:fill="FFFFFF"/>
        </w:rPr>
        <w:t>Organziation</w:t>
      </w:r>
      <w:proofErr w:type="spellEnd"/>
      <w:r w:rsidR="00E876A2" w:rsidRPr="00504E1B">
        <w:rPr>
          <w:rFonts w:ascii="Garamond" w:hAnsi="Garamond" w:cstheme="minorHAnsi"/>
          <w:color w:val="000000" w:themeColor="text1"/>
          <w:sz w:val="22"/>
          <w:szCs w:val="22"/>
          <w:shd w:val="clear" w:color="auto" w:fill="FFFFFF"/>
        </w:rPr>
        <w:t xml:space="preserve"> (WHO) highlights remaining inequities for vulnerable populations. Notably: </w:t>
      </w:r>
    </w:p>
    <w:p w14:paraId="3BEFEA1D" w14:textId="77777777" w:rsidR="00E876A2" w:rsidRPr="00504E1B" w:rsidRDefault="00437930" w:rsidP="00B41EA8">
      <w:pPr>
        <w:pStyle w:val="Acronyms"/>
        <w:numPr>
          <w:ilvl w:val="0"/>
          <w:numId w:val="15"/>
        </w:numPr>
        <w:spacing w:before="120"/>
        <w:ind w:left="360"/>
        <w:jc w:val="both"/>
        <w:rPr>
          <w:rFonts w:cstheme="minorHAnsi"/>
          <w:color w:val="000000" w:themeColor="text1"/>
          <w:szCs w:val="22"/>
        </w:rPr>
      </w:pPr>
      <w:bookmarkStart w:id="15" w:name="_Hlk43115195"/>
      <w:r w:rsidRPr="00504E1B">
        <w:rPr>
          <w:rFonts w:cstheme="minorHAnsi"/>
          <w:color w:val="000000" w:themeColor="text1"/>
          <w:szCs w:val="22"/>
          <w:shd w:val="clear" w:color="auto" w:fill="FFFFFF"/>
        </w:rPr>
        <w:t xml:space="preserve">An estimated 11 million pregnant women in sub-Saharan Africa – 29% of all pregnancies – were infected with malaria in 2018, resulting in nearly 900,000 children in 38 African countries being born with a low birthweight. </w:t>
      </w:r>
    </w:p>
    <w:bookmarkEnd w:id="15"/>
    <w:p w14:paraId="3D8D8709" w14:textId="7BB3B562" w:rsidR="00504E1B" w:rsidRPr="00BE62FD" w:rsidRDefault="00E876A2" w:rsidP="00B41EA8">
      <w:pPr>
        <w:pStyle w:val="Acronyms"/>
        <w:numPr>
          <w:ilvl w:val="0"/>
          <w:numId w:val="15"/>
        </w:numPr>
        <w:spacing w:before="120"/>
        <w:ind w:left="360"/>
        <w:jc w:val="both"/>
        <w:rPr>
          <w:rFonts w:cstheme="minorHAnsi"/>
          <w:color w:val="000000" w:themeColor="text1"/>
          <w:szCs w:val="22"/>
        </w:rPr>
      </w:pPr>
      <w:r w:rsidRPr="00504E1B">
        <w:rPr>
          <w:rFonts w:cstheme="minorHAnsi"/>
          <w:color w:val="000000" w:themeColor="text1"/>
          <w:szCs w:val="22"/>
          <w:shd w:val="clear" w:color="auto" w:fill="FFFFFF"/>
        </w:rPr>
        <w:t>Although m</w:t>
      </w:r>
      <w:r w:rsidR="00437930" w:rsidRPr="00504E1B">
        <w:rPr>
          <w:rFonts w:cstheme="minorHAnsi"/>
          <w:color w:val="000000" w:themeColor="text1"/>
          <w:szCs w:val="22"/>
          <w:shd w:val="clear" w:color="auto" w:fill="FFFFFF"/>
        </w:rPr>
        <w:t>alaria deaths in children under five dropped in 2018, this group still accounted for two-thirds (67%) of all malaria deaths worldwide</w:t>
      </w:r>
      <w:r w:rsidR="00865491" w:rsidRPr="00504E1B">
        <w:rPr>
          <w:rFonts w:cstheme="minorHAnsi"/>
          <w:color w:val="000000" w:themeColor="text1"/>
          <w:szCs w:val="22"/>
          <w:shd w:val="clear" w:color="auto" w:fill="FFFFFF"/>
        </w:rPr>
        <w:t>.</w:t>
      </w:r>
      <w:r w:rsidR="00865491" w:rsidRPr="00BE62FD">
        <w:rPr>
          <w:rStyle w:val="FootnoteReference"/>
          <w:rFonts w:cstheme="minorHAnsi"/>
          <w:color w:val="000000" w:themeColor="text1"/>
          <w:sz w:val="22"/>
          <w:szCs w:val="22"/>
          <w:shd w:val="clear" w:color="auto" w:fill="FFFFFF"/>
        </w:rPr>
        <w:t>5</w:t>
      </w:r>
    </w:p>
    <w:p w14:paraId="1002CFFF" w14:textId="1645AD6D" w:rsidR="0089477F" w:rsidRDefault="00C07DAF" w:rsidP="00BE62FD">
      <w:pPr>
        <w:pStyle w:val="Heading2"/>
      </w:pPr>
      <w:bookmarkStart w:id="16" w:name="_Toc525834977"/>
      <w:bookmarkStart w:id="17" w:name="_Toc522122492"/>
      <w:bookmarkStart w:id="18" w:name="_Toc43130661"/>
      <w:r>
        <w:t>IT</w:t>
      </w:r>
      <w:r w:rsidR="00CC4A6F">
        <w:t>N Coverage and Use</w:t>
      </w:r>
      <w:bookmarkEnd w:id="16"/>
      <w:bookmarkEnd w:id="17"/>
      <w:bookmarkEnd w:id="18"/>
    </w:p>
    <w:p w14:paraId="0C367B17" w14:textId="49A0C8EB" w:rsidR="00E876A2" w:rsidRPr="002904BC" w:rsidRDefault="00E876A2" w:rsidP="00B41EA8">
      <w:pPr>
        <w:spacing w:before="120" w:after="120"/>
        <w:jc w:val="both"/>
        <w:rPr>
          <w:rFonts w:ascii="Garamond" w:hAnsi="Garamond" w:cstheme="minorHAnsi"/>
          <w:color w:val="000000" w:themeColor="text1"/>
          <w:sz w:val="22"/>
          <w:szCs w:val="22"/>
        </w:rPr>
      </w:pPr>
      <w:r w:rsidRPr="00A3748E">
        <w:rPr>
          <w:rFonts w:ascii="Garamond" w:hAnsi="Garamond" w:cstheme="minorHAnsi"/>
          <w:color w:val="000000" w:themeColor="text1"/>
          <w:sz w:val="22"/>
          <w:szCs w:val="22"/>
        </w:rPr>
        <w:t>Global efforts to reduce the burden of malaria include large-scale distribution of insecticide-treated mosquito nets (ITN) through mass campaigns (</w:t>
      </w:r>
      <w:r w:rsidR="00356DF7">
        <w:rPr>
          <w:rFonts w:ascii="Garamond" w:hAnsi="Garamond" w:cstheme="minorHAnsi"/>
          <w:color w:val="000000" w:themeColor="text1"/>
          <w:sz w:val="22"/>
          <w:szCs w:val="22"/>
        </w:rPr>
        <w:t>7</w:t>
      </w:r>
      <w:r w:rsidR="002904BC" w:rsidRPr="00A3748E">
        <w:rPr>
          <w:rFonts w:ascii="Garamond" w:hAnsi="Garamond" w:cstheme="minorHAnsi"/>
          <w:color w:val="000000" w:themeColor="text1"/>
          <w:sz w:val="22"/>
          <w:szCs w:val="22"/>
        </w:rPr>
        <w:t>5</w:t>
      </w:r>
      <w:r w:rsidRPr="00A3748E">
        <w:rPr>
          <w:rFonts w:ascii="Garamond" w:hAnsi="Garamond" w:cstheme="minorHAnsi"/>
          <w:color w:val="000000" w:themeColor="text1"/>
          <w:sz w:val="22"/>
          <w:szCs w:val="22"/>
        </w:rPr>
        <w:t>% of ITNs) and continuous distribution (</w:t>
      </w:r>
      <w:r w:rsidR="002904BC" w:rsidRPr="00A3748E">
        <w:rPr>
          <w:rFonts w:ascii="Garamond" w:hAnsi="Garamond" w:cstheme="minorHAnsi"/>
          <w:color w:val="000000" w:themeColor="text1"/>
          <w:sz w:val="22"/>
          <w:szCs w:val="22"/>
        </w:rPr>
        <w:t>up to 25%</w:t>
      </w:r>
      <w:r w:rsidRPr="00A3748E">
        <w:rPr>
          <w:rFonts w:ascii="Garamond" w:hAnsi="Garamond" w:cstheme="minorHAnsi"/>
          <w:color w:val="000000" w:themeColor="text1"/>
          <w:sz w:val="22"/>
          <w:szCs w:val="22"/>
        </w:rPr>
        <w:t>).</w:t>
      </w:r>
      <w:r w:rsidR="002904BC" w:rsidRPr="00A3748E">
        <w:rPr>
          <w:rStyle w:val="FootnoteReference"/>
          <w:rFonts w:ascii="Garamond" w:hAnsi="Garamond" w:cstheme="minorHAnsi"/>
          <w:color w:val="000000" w:themeColor="text1"/>
          <w:sz w:val="22"/>
          <w:szCs w:val="22"/>
        </w:rPr>
        <w:footnoteReference w:id="9"/>
      </w:r>
      <w:r w:rsidRPr="00A3748E">
        <w:rPr>
          <w:rFonts w:ascii="Garamond" w:hAnsi="Garamond" w:cstheme="minorHAnsi"/>
          <w:color w:val="000000" w:themeColor="text1"/>
          <w:sz w:val="22"/>
          <w:szCs w:val="22"/>
        </w:rPr>
        <w:t xml:space="preserve"> The gains have been impressive, with </w:t>
      </w:r>
      <w:r w:rsidR="00437930" w:rsidRPr="00A3748E">
        <w:rPr>
          <w:rFonts w:ascii="Garamond" w:hAnsi="Garamond" w:cstheme="minorHAnsi"/>
          <w:color w:val="000000" w:themeColor="text1"/>
          <w:sz w:val="22"/>
          <w:szCs w:val="22"/>
        </w:rPr>
        <w:t xml:space="preserve">72% of households in sub-Saharan Africa </w:t>
      </w:r>
      <w:r w:rsidRPr="00A3748E">
        <w:rPr>
          <w:rFonts w:ascii="Garamond" w:hAnsi="Garamond" w:cstheme="minorHAnsi"/>
          <w:color w:val="000000" w:themeColor="text1"/>
          <w:sz w:val="22"/>
          <w:szCs w:val="22"/>
        </w:rPr>
        <w:t>with</w:t>
      </w:r>
      <w:r w:rsidR="00437930" w:rsidRPr="00A3748E">
        <w:rPr>
          <w:rFonts w:ascii="Garamond" w:hAnsi="Garamond" w:cstheme="minorHAnsi"/>
          <w:color w:val="000000" w:themeColor="text1"/>
          <w:sz w:val="22"/>
          <w:szCs w:val="22"/>
        </w:rPr>
        <w:t xml:space="preserve"> at least one ITN </w:t>
      </w:r>
      <w:r w:rsidRPr="00A3748E">
        <w:rPr>
          <w:rFonts w:ascii="Garamond" w:hAnsi="Garamond" w:cstheme="minorHAnsi"/>
          <w:color w:val="000000" w:themeColor="text1"/>
          <w:sz w:val="22"/>
          <w:szCs w:val="22"/>
        </w:rPr>
        <w:t xml:space="preserve">and some </w:t>
      </w:r>
      <w:r w:rsidR="00437930" w:rsidRPr="00A3748E">
        <w:rPr>
          <w:rFonts w:ascii="Garamond" w:hAnsi="Garamond" w:cstheme="minorHAnsi"/>
          <w:color w:val="000000" w:themeColor="text1"/>
          <w:sz w:val="22"/>
          <w:szCs w:val="22"/>
        </w:rPr>
        <w:t>40% of population</w:t>
      </w:r>
      <w:r w:rsidRPr="00A3748E">
        <w:rPr>
          <w:rFonts w:ascii="Garamond" w:hAnsi="Garamond" w:cstheme="minorHAnsi"/>
          <w:color w:val="000000" w:themeColor="text1"/>
          <w:sz w:val="22"/>
          <w:szCs w:val="22"/>
        </w:rPr>
        <w:t>s</w:t>
      </w:r>
      <w:r w:rsidR="00437930" w:rsidRPr="00A3748E">
        <w:rPr>
          <w:rFonts w:ascii="Garamond" w:hAnsi="Garamond" w:cstheme="minorHAnsi"/>
          <w:color w:val="000000" w:themeColor="text1"/>
          <w:sz w:val="22"/>
          <w:szCs w:val="22"/>
        </w:rPr>
        <w:t xml:space="preserve"> liv</w:t>
      </w:r>
      <w:r w:rsidRPr="00A3748E">
        <w:rPr>
          <w:rFonts w:ascii="Garamond" w:hAnsi="Garamond" w:cstheme="minorHAnsi"/>
          <w:color w:val="000000" w:themeColor="text1"/>
          <w:sz w:val="22"/>
          <w:szCs w:val="22"/>
        </w:rPr>
        <w:t>ing</w:t>
      </w:r>
      <w:r w:rsidR="00437930" w:rsidRPr="00A3748E">
        <w:rPr>
          <w:rFonts w:ascii="Garamond" w:hAnsi="Garamond" w:cstheme="minorHAnsi"/>
          <w:color w:val="000000" w:themeColor="text1"/>
          <w:sz w:val="22"/>
          <w:szCs w:val="22"/>
        </w:rPr>
        <w:t xml:space="preserve"> in households with enough ITNs for all occupants. </w:t>
      </w:r>
      <w:r w:rsidR="002904BC" w:rsidRPr="00A3748E">
        <w:rPr>
          <w:rFonts w:ascii="Garamond" w:hAnsi="Garamond" w:cstheme="minorHAnsi"/>
          <w:color w:val="000000" w:themeColor="text1"/>
          <w:sz w:val="22"/>
          <w:szCs w:val="22"/>
        </w:rPr>
        <w:t xml:space="preserve">ITN use also increased dramatically, with 61% of people </w:t>
      </w:r>
      <w:r w:rsidR="00356DF7">
        <w:rPr>
          <w:rFonts w:ascii="Garamond" w:hAnsi="Garamond" w:cstheme="minorHAnsi"/>
          <w:color w:val="000000" w:themeColor="text1"/>
          <w:sz w:val="22"/>
          <w:szCs w:val="22"/>
        </w:rPr>
        <w:t>sleeping</w:t>
      </w:r>
      <w:r w:rsidR="002904BC" w:rsidRPr="00A3748E">
        <w:rPr>
          <w:rFonts w:ascii="Garamond" w:hAnsi="Garamond" w:cstheme="minorHAnsi"/>
          <w:color w:val="000000" w:themeColor="text1"/>
          <w:sz w:val="22"/>
          <w:szCs w:val="22"/>
        </w:rPr>
        <w:t xml:space="preserve"> under an ITN the night before the survey in 2018 compared with 36% in 2010 for both pregnant women and children under 5 years</w:t>
      </w:r>
      <w:r w:rsidR="00A3748E" w:rsidRPr="00A3748E">
        <w:rPr>
          <w:rFonts w:ascii="Garamond" w:hAnsi="Garamond" w:cstheme="minorHAnsi"/>
          <w:color w:val="000000" w:themeColor="text1"/>
          <w:sz w:val="22"/>
          <w:szCs w:val="22"/>
        </w:rPr>
        <w:t xml:space="preserve"> -</w:t>
      </w:r>
      <w:r w:rsidR="007449FE">
        <w:rPr>
          <w:rFonts w:ascii="Garamond" w:hAnsi="Garamond" w:cstheme="minorHAnsi"/>
          <w:color w:val="000000" w:themeColor="text1"/>
          <w:sz w:val="22"/>
          <w:szCs w:val="22"/>
        </w:rPr>
        <w:t xml:space="preserve"> </w:t>
      </w:r>
      <w:r w:rsidR="00A3748E" w:rsidRPr="007449FE">
        <w:rPr>
          <w:rFonts w:ascii="Garamond" w:hAnsi="Garamond" w:cstheme="minorHAnsi"/>
          <w:color w:val="000000" w:themeColor="text1"/>
          <w:sz w:val="22"/>
          <w:szCs w:val="22"/>
        </w:rPr>
        <w:t>however, overall coverage for people in these regions has improved only marginally since 2015</w:t>
      </w:r>
      <w:r w:rsidR="00865491" w:rsidRPr="00A3748E">
        <w:rPr>
          <w:rFonts w:ascii="Garamond" w:hAnsi="Garamond" w:cstheme="minorHAnsi"/>
          <w:color w:val="000000" w:themeColor="text1"/>
          <w:sz w:val="22"/>
          <w:szCs w:val="22"/>
        </w:rPr>
        <w:t>.</w:t>
      </w:r>
      <w:r w:rsidR="00865491">
        <w:rPr>
          <w:rStyle w:val="FootnoteReference"/>
          <w:rFonts w:ascii="Garamond" w:hAnsi="Garamond" w:cstheme="minorHAnsi"/>
          <w:color w:val="000000" w:themeColor="text1"/>
          <w:sz w:val="22"/>
          <w:szCs w:val="22"/>
        </w:rPr>
        <w:t>5</w:t>
      </w:r>
      <w:r w:rsidR="00865491" w:rsidRPr="00A3748E">
        <w:rPr>
          <w:rFonts w:ascii="Garamond" w:hAnsi="Garamond" w:cstheme="minorHAnsi"/>
          <w:color w:val="000000" w:themeColor="text1"/>
          <w:sz w:val="22"/>
          <w:szCs w:val="22"/>
        </w:rPr>
        <w:t xml:space="preserve"> </w:t>
      </w:r>
    </w:p>
    <w:p w14:paraId="65180875" w14:textId="6396569D" w:rsidR="00504E1B" w:rsidRPr="00BE62FD" w:rsidRDefault="00A3748E" w:rsidP="00B41EA8">
      <w:pPr>
        <w:spacing w:before="120" w:after="120"/>
        <w:jc w:val="both"/>
        <w:rPr>
          <w:rFonts w:ascii="Garamond" w:hAnsi="Garamond" w:cs="Calibri"/>
          <w:color w:val="000000"/>
          <w:sz w:val="22"/>
          <w:szCs w:val="22"/>
        </w:rPr>
      </w:pPr>
      <w:r>
        <w:rPr>
          <w:rFonts w:ascii="Garamond" w:hAnsi="Garamond"/>
          <w:color w:val="000000" w:themeColor="text1"/>
          <w:sz w:val="22"/>
          <w:szCs w:val="22"/>
        </w:rPr>
        <w:t xml:space="preserve">Additionally, </w:t>
      </w:r>
      <w:r>
        <w:rPr>
          <w:rFonts w:ascii="Garamond" w:hAnsi="Garamond" w:cs="Calibri"/>
          <w:color w:val="000000"/>
          <w:sz w:val="22"/>
          <w:szCs w:val="22"/>
        </w:rPr>
        <w:t>w</w:t>
      </w:r>
      <w:r w:rsidR="00C960D9" w:rsidRPr="00C960D9">
        <w:rPr>
          <w:rFonts w:ascii="Garamond" w:hAnsi="Garamond" w:cs="Calibri"/>
          <w:color w:val="000000"/>
          <w:sz w:val="22"/>
          <w:szCs w:val="22"/>
        </w:rPr>
        <w:t xml:space="preserve">hile distribution of ITNs to pregnant women through </w:t>
      </w:r>
      <w:r w:rsidR="00AC3518">
        <w:rPr>
          <w:rFonts w:ascii="Garamond" w:hAnsi="Garamond" w:cs="Calibri"/>
          <w:color w:val="000000"/>
          <w:sz w:val="22"/>
          <w:szCs w:val="22"/>
        </w:rPr>
        <w:t>antenatal care (</w:t>
      </w:r>
      <w:r w:rsidR="00C960D9" w:rsidRPr="00C960D9">
        <w:rPr>
          <w:rFonts w:ascii="Garamond" w:hAnsi="Garamond" w:cs="Calibri"/>
          <w:color w:val="000000"/>
          <w:sz w:val="22"/>
          <w:szCs w:val="22"/>
        </w:rPr>
        <w:t>ANC</w:t>
      </w:r>
      <w:r w:rsidR="00AC3518">
        <w:rPr>
          <w:rFonts w:ascii="Garamond" w:hAnsi="Garamond" w:cs="Calibri"/>
          <w:color w:val="000000"/>
          <w:sz w:val="22"/>
          <w:szCs w:val="22"/>
        </w:rPr>
        <w:t>)</w:t>
      </w:r>
      <w:r w:rsidR="00C960D9" w:rsidRPr="00C960D9">
        <w:rPr>
          <w:rFonts w:ascii="Garamond" w:hAnsi="Garamond" w:cs="Calibri"/>
          <w:color w:val="000000"/>
          <w:sz w:val="22"/>
          <w:szCs w:val="22"/>
        </w:rPr>
        <w:t xml:space="preserve"> and children under </w:t>
      </w:r>
      <w:r w:rsidR="00356DF7">
        <w:rPr>
          <w:rFonts w:ascii="Garamond" w:hAnsi="Garamond" w:cs="Calibri"/>
          <w:color w:val="000000"/>
          <w:sz w:val="22"/>
          <w:szCs w:val="22"/>
        </w:rPr>
        <w:t>one</w:t>
      </w:r>
      <w:r w:rsidR="00C960D9" w:rsidRPr="00C960D9">
        <w:rPr>
          <w:rFonts w:ascii="Garamond" w:hAnsi="Garamond" w:cs="Calibri"/>
          <w:color w:val="000000"/>
          <w:sz w:val="22"/>
          <w:szCs w:val="22"/>
        </w:rPr>
        <w:t xml:space="preserve"> at regular vaccination visits is the</w:t>
      </w:r>
      <w:r w:rsidR="00C960D9" w:rsidRPr="00C960D9">
        <w:rPr>
          <w:rStyle w:val="apple-converted-space"/>
          <w:rFonts w:ascii="Garamond" w:hAnsi="Garamond" w:cs="Calibri"/>
          <w:color w:val="000000"/>
          <w:sz w:val="22"/>
          <w:szCs w:val="22"/>
        </w:rPr>
        <w:t> </w:t>
      </w:r>
      <w:r w:rsidR="00C960D9" w:rsidRPr="00504E1B">
        <w:rPr>
          <w:rFonts w:ascii="Garamond" w:hAnsi="Garamond" w:cs="Calibri"/>
          <w:color w:val="000000"/>
          <w:sz w:val="22"/>
          <w:szCs w:val="22"/>
        </w:rPr>
        <w:t>most cost effective type of distribution,</w:t>
      </w:r>
      <w:r w:rsidR="00C960D9" w:rsidRPr="00504E1B">
        <w:rPr>
          <w:rStyle w:val="apple-converted-space"/>
          <w:rFonts w:ascii="Garamond" w:hAnsi="Garamond" w:cs="Calibri"/>
          <w:color w:val="000000"/>
          <w:sz w:val="22"/>
          <w:szCs w:val="22"/>
        </w:rPr>
        <w:t> </w:t>
      </w:r>
      <w:r w:rsidR="00C960D9" w:rsidRPr="00504E1B">
        <w:rPr>
          <w:rFonts w:ascii="Garamond" w:hAnsi="Garamond" w:cs="Calibri"/>
          <w:color w:val="000000"/>
          <w:sz w:val="22"/>
          <w:szCs w:val="22"/>
        </w:rPr>
        <w:t>only 55% of pregnant women and only 34% of children actually receive</w:t>
      </w:r>
      <w:r w:rsidR="00C960D9" w:rsidRPr="00504E1B">
        <w:rPr>
          <w:rStyle w:val="apple-converted-space"/>
          <w:rFonts w:ascii="Garamond" w:hAnsi="Garamond" w:cs="Calibri"/>
          <w:color w:val="000000"/>
          <w:sz w:val="22"/>
          <w:szCs w:val="22"/>
        </w:rPr>
        <w:t> </w:t>
      </w:r>
      <w:r w:rsidR="00C960D9" w:rsidRPr="00504E1B">
        <w:rPr>
          <w:rFonts w:ascii="Garamond" w:hAnsi="Garamond" w:cs="Calibri"/>
          <w:color w:val="000000"/>
          <w:sz w:val="22"/>
          <w:szCs w:val="22"/>
        </w:rPr>
        <w:t>a</w:t>
      </w:r>
      <w:r w:rsidR="00C960D9" w:rsidRPr="00C960D9">
        <w:rPr>
          <w:rFonts w:ascii="Garamond" w:hAnsi="Garamond" w:cs="Calibri"/>
          <w:color w:val="000000"/>
          <w:sz w:val="22"/>
          <w:szCs w:val="22"/>
        </w:rPr>
        <w:t xml:space="preserve"> net at these routine health visits</w:t>
      </w:r>
      <w:r w:rsidR="00504E1B">
        <w:rPr>
          <w:rFonts w:ascii="Garamond" w:hAnsi="Garamond" w:cs="Calibri"/>
          <w:color w:val="000000"/>
          <w:sz w:val="22"/>
          <w:szCs w:val="22"/>
        </w:rPr>
        <w:t>.</w:t>
      </w:r>
      <w:r w:rsidR="00C960D9" w:rsidRPr="00C960D9">
        <w:rPr>
          <w:rStyle w:val="FootnoteReference"/>
          <w:rFonts w:ascii="Garamond" w:hAnsi="Garamond" w:cs="Calibri"/>
          <w:color w:val="000000"/>
          <w:sz w:val="22"/>
          <w:szCs w:val="22"/>
        </w:rPr>
        <w:footnoteReference w:id="10"/>
      </w:r>
      <w:bookmarkStart w:id="19" w:name="_Toc525834978"/>
      <w:bookmarkEnd w:id="13"/>
    </w:p>
    <w:p w14:paraId="4CECC82B" w14:textId="79198FB2" w:rsidR="00DF63EE" w:rsidRPr="00DF63EE" w:rsidRDefault="00DF63EE" w:rsidP="00DF63EE">
      <w:pPr>
        <w:pStyle w:val="Heading2"/>
      </w:pPr>
      <w:bookmarkStart w:id="20" w:name="_Toc43130662"/>
      <w:r>
        <w:t xml:space="preserve">Assessment </w:t>
      </w:r>
      <w:r w:rsidR="00CC4A6F">
        <w:t>P</w:t>
      </w:r>
      <w:r>
        <w:t xml:space="preserve">urpose and </w:t>
      </w:r>
      <w:r w:rsidR="00CC4A6F">
        <w:t>O</w:t>
      </w:r>
      <w:r>
        <w:t>bjectives</w:t>
      </w:r>
      <w:bookmarkEnd w:id="19"/>
      <w:bookmarkEnd w:id="20"/>
      <w:r>
        <w:t xml:space="preserve"> </w:t>
      </w:r>
    </w:p>
    <w:p w14:paraId="6955132F" w14:textId="5938EDC0" w:rsidR="00C960D9" w:rsidRPr="00AB711E" w:rsidRDefault="007449FE" w:rsidP="00B41EA8">
      <w:pPr>
        <w:widowControl w:val="0"/>
        <w:pBdr>
          <w:top w:val="nil"/>
          <w:left w:val="nil"/>
          <w:bottom w:val="nil"/>
          <w:right w:val="nil"/>
          <w:between w:val="nil"/>
        </w:pBdr>
        <w:spacing w:before="120" w:after="120"/>
        <w:jc w:val="both"/>
        <w:rPr>
          <w:rFonts w:ascii="Garamond" w:hAnsi="Garamond"/>
          <w:sz w:val="22"/>
          <w:szCs w:val="22"/>
        </w:rPr>
      </w:pPr>
      <w:r w:rsidRPr="00AB711E">
        <w:rPr>
          <w:rFonts w:ascii="Garamond" w:hAnsi="Garamond" w:cs="Calibri"/>
          <w:sz w:val="22"/>
          <w:szCs w:val="22"/>
        </w:rPr>
        <w:t xml:space="preserve">In line with global efforts to revitalize the momentum in maintaining and increasing coverage and use of ITNs, PMI VectorLink designed an approach </w:t>
      </w:r>
      <w:r w:rsidR="00010406" w:rsidRPr="00AB711E">
        <w:rPr>
          <w:rFonts w:ascii="Garamond" w:hAnsi="Garamond" w:cs="Calibri"/>
          <w:sz w:val="22"/>
          <w:szCs w:val="22"/>
        </w:rPr>
        <w:t xml:space="preserve">that can be used across countries and partners </w:t>
      </w:r>
      <w:r w:rsidRPr="00AB711E">
        <w:rPr>
          <w:rFonts w:ascii="Garamond" w:hAnsi="Garamond" w:cs="Calibri"/>
          <w:sz w:val="22"/>
          <w:szCs w:val="22"/>
        </w:rPr>
        <w:t>to assess ITN continuous distribution</w:t>
      </w:r>
      <w:r w:rsidR="0060439D" w:rsidRPr="00AB711E">
        <w:rPr>
          <w:rFonts w:ascii="Garamond" w:hAnsi="Garamond" w:cs="Calibri"/>
          <w:sz w:val="22"/>
          <w:szCs w:val="22"/>
        </w:rPr>
        <w:t>,</w:t>
      </w:r>
      <w:r w:rsidRPr="00AB711E">
        <w:rPr>
          <w:rFonts w:ascii="Garamond" w:hAnsi="Garamond" w:cs="Calibri"/>
          <w:sz w:val="22"/>
          <w:szCs w:val="22"/>
        </w:rPr>
        <w:t xml:space="preserve"> and identify concrete opportunities to increase ITN delivery through these channels. </w:t>
      </w:r>
    </w:p>
    <w:p w14:paraId="0CD6D85F" w14:textId="65D716DB" w:rsidR="00661A23" w:rsidRPr="00AB711E" w:rsidRDefault="003A5CBD" w:rsidP="00B41EA8">
      <w:pPr>
        <w:widowControl w:val="0"/>
        <w:pBdr>
          <w:top w:val="nil"/>
          <w:left w:val="nil"/>
          <w:bottom w:val="nil"/>
          <w:right w:val="nil"/>
          <w:between w:val="nil"/>
        </w:pBdr>
        <w:spacing w:before="120" w:after="120"/>
        <w:jc w:val="both"/>
        <w:rPr>
          <w:rFonts w:ascii="Garamond" w:hAnsi="Garamond"/>
          <w:sz w:val="22"/>
          <w:szCs w:val="22"/>
        </w:rPr>
      </w:pPr>
      <w:r w:rsidRPr="00AB711E">
        <w:rPr>
          <w:rFonts w:ascii="Garamond" w:hAnsi="Garamond" w:cs="Calibri"/>
          <w:b/>
          <w:bCs/>
          <w:sz w:val="22"/>
          <w:szCs w:val="22"/>
        </w:rPr>
        <w:t>The purpose</w:t>
      </w:r>
      <w:r w:rsidRPr="00AB711E">
        <w:rPr>
          <w:rFonts w:ascii="Garamond" w:hAnsi="Garamond" w:cs="Calibri"/>
          <w:sz w:val="22"/>
          <w:szCs w:val="22"/>
        </w:rPr>
        <w:t xml:space="preserve"> of th</w:t>
      </w:r>
      <w:r w:rsidR="00E02755" w:rsidRPr="00AB711E">
        <w:rPr>
          <w:rFonts w:ascii="Garamond" w:hAnsi="Garamond" w:cs="Calibri"/>
          <w:sz w:val="22"/>
          <w:szCs w:val="22"/>
        </w:rPr>
        <w:t>i</w:t>
      </w:r>
      <w:r w:rsidRPr="00AB711E">
        <w:rPr>
          <w:rFonts w:ascii="Garamond" w:hAnsi="Garamond" w:cs="Calibri"/>
          <w:sz w:val="22"/>
          <w:szCs w:val="22"/>
        </w:rPr>
        <w:t xml:space="preserve">s </w:t>
      </w:r>
      <w:r w:rsidR="00B41659" w:rsidRPr="00AB711E">
        <w:rPr>
          <w:rFonts w:ascii="Garamond" w:hAnsi="Garamond" w:cs="Calibri"/>
          <w:sz w:val="22"/>
          <w:szCs w:val="22"/>
        </w:rPr>
        <w:t>assessment</w:t>
      </w:r>
      <w:r w:rsidRPr="00AB711E">
        <w:rPr>
          <w:rFonts w:ascii="Garamond" w:hAnsi="Garamond" w:cs="Calibri"/>
          <w:sz w:val="22"/>
          <w:szCs w:val="22"/>
        </w:rPr>
        <w:t xml:space="preserve"> </w:t>
      </w:r>
      <w:r w:rsidR="00712D70" w:rsidRPr="00AB711E">
        <w:rPr>
          <w:rFonts w:ascii="Garamond" w:hAnsi="Garamond" w:cs="Calibri"/>
          <w:sz w:val="22"/>
          <w:szCs w:val="22"/>
        </w:rPr>
        <w:t xml:space="preserve">is </w:t>
      </w:r>
      <w:r w:rsidR="0060439D" w:rsidRPr="00AB711E">
        <w:rPr>
          <w:rFonts w:ascii="Garamond" w:hAnsi="Garamond" w:cs="Calibri"/>
          <w:sz w:val="22"/>
          <w:szCs w:val="22"/>
        </w:rPr>
        <w:t xml:space="preserve">to </w:t>
      </w:r>
      <w:r w:rsidRPr="00AB711E">
        <w:rPr>
          <w:rFonts w:ascii="Garamond" w:hAnsi="Garamond" w:cs="Calibri"/>
          <w:sz w:val="22"/>
          <w:szCs w:val="22"/>
        </w:rPr>
        <w:t xml:space="preserve">support a comprehensive qualitative assessment of continuous </w:t>
      </w:r>
      <w:r w:rsidR="000D37A8" w:rsidRPr="00AB711E">
        <w:rPr>
          <w:rFonts w:ascii="Garamond" w:hAnsi="Garamond" w:cs="Calibri"/>
          <w:sz w:val="22"/>
          <w:szCs w:val="22"/>
        </w:rPr>
        <w:t>ITN</w:t>
      </w:r>
      <w:r w:rsidRPr="00AB711E">
        <w:rPr>
          <w:rFonts w:ascii="Garamond" w:hAnsi="Garamond" w:cs="Calibri"/>
          <w:sz w:val="22"/>
          <w:szCs w:val="22"/>
        </w:rPr>
        <w:t xml:space="preserve"> </w:t>
      </w:r>
      <w:r w:rsidRPr="00AB711E">
        <w:rPr>
          <w:rFonts w:ascii="Garamond" w:hAnsi="Garamond" w:cs="Calibri"/>
          <w:sz w:val="22"/>
          <w:szCs w:val="22"/>
        </w:rPr>
        <w:lastRenderedPageBreak/>
        <w:t>distribution</w:t>
      </w:r>
      <w:r w:rsidR="0022182F" w:rsidRPr="00AB711E">
        <w:rPr>
          <w:rFonts w:ascii="Garamond" w:hAnsi="Garamond" w:cs="Calibri"/>
          <w:sz w:val="22"/>
          <w:szCs w:val="22"/>
        </w:rPr>
        <w:t xml:space="preserve"> </w:t>
      </w:r>
      <w:r w:rsidR="00661A23" w:rsidRPr="00AB711E">
        <w:rPr>
          <w:rFonts w:ascii="Garamond" w:hAnsi="Garamond" w:cs="Calibri"/>
          <w:sz w:val="22"/>
          <w:szCs w:val="22"/>
        </w:rPr>
        <w:t>channels</w:t>
      </w:r>
      <w:r w:rsidR="00572670">
        <w:rPr>
          <w:rFonts w:ascii="Garamond" w:hAnsi="Garamond" w:cs="Calibri"/>
          <w:sz w:val="22"/>
          <w:szCs w:val="22"/>
        </w:rPr>
        <w:t xml:space="preserve"> a</w:t>
      </w:r>
      <w:r w:rsidR="00755807" w:rsidRPr="00AB711E">
        <w:rPr>
          <w:rFonts w:ascii="Garamond" w:hAnsi="Garamond" w:cs="Calibri"/>
          <w:sz w:val="22"/>
          <w:szCs w:val="22"/>
        </w:rPr>
        <w:t xml:space="preserve">nd </w:t>
      </w:r>
      <w:r w:rsidRPr="00AB711E">
        <w:rPr>
          <w:rFonts w:ascii="Garamond" w:hAnsi="Garamond" w:cs="Calibri"/>
          <w:sz w:val="22"/>
          <w:szCs w:val="22"/>
        </w:rPr>
        <w:t xml:space="preserve">to provide the </w:t>
      </w:r>
      <w:r w:rsidR="00BC3DE1" w:rsidRPr="00AB711E">
        <w:rPr>
          <w:rFonts w:ascii="Garamond" w:hAnsi="Garamond" w:cs="Calibri"/>
          <w:sz w:val="22"/>
          <w:szCs w:val="22"/>
        </w:rPr>
        <w:t>National Malaria Program (</w:t>
      </w:r>
      <w:r w:rsidR="00BA0C74" w:rsidRPr="00AB711E">
        <w:rPr>
          <w:rFonts w:ascii="Garamond" w:hAnsi="Garamond" w:cs="Calibri"/>
          <w:sz w:val="22"/>
          <w:szCs w:val="22"/>
        </w:rPr>
        <w:t>NMP</w:t>
      </w:r>
      <w:r w:rsidR="00BC3DE1" w:rsidRPr="00AB711E">
        <w:rPr>
          <w:rFonts w:ascii="Garamond" w:hAnsi="Garamond" w:cs="Calibri"/>
          <w:sz w:val="22"/>
          <w:szCs w:val="22"/>
        </w:rPr>
        <w:t>)</w:t>
      </w:r>
      <w:r w:rsidR="00712D70" w:rsidRPr="00AB711E">
        <w:rPr>
          <w:rFonts w:ascii="Garamond" w:hAnsi="Garamond" w:cs="Calibri"/>
          <w:sz w:val="22"/>
          <w:szCs w:val="22"/>
        </w:rPr>
        <w:t xml:space="preserve"> and </w:t>
      </w:r>
      <w:r w:rsidRPr="00AB711E">
        <w:rPr>
          <w:rFonts w:ascii="Garamond" w:hAnsi="Garamond" w:cs="Calibri"/>
          <w:sz w:val="22"/>
          <w:szCs w:val="22"/>
        </w:rPr>
        <w:t xml:space="preserve">key </w:t>
      </w:r>
      <w:r w:rsidR="00A32F3F" w:rsidRPr="00AB711E">
        <w:rPr>
          <w:rFonts w:ascii="Garamond" w:hAnsi="Garamond" w:cs="Calibri"/>
          <w:sz w:val="22"/>
          <w:szCs w:val="22"/>
        </w:rPr>
        <w:t>health</w:t>
      </w:r>
      <w:r w:rsidR="00E02755" w:rsidRPr="00AB711E">
        <w:rPr>
          <w:rFonts w:ascii="Garamond" w:hAnsi="Garamond" w:cs="Calibri"/>
          <w:sz w:val="22"/>
          <w:szCs w:val="22"/>
        </w:rPr>
        <w:t xml:space="preserve"> </w:t>
      </w:r>
      <w:r w:rsidRPr="00AB711E">
        <w:rPr>
          <w:rFonts w:ascii="Garamond" w:hAnsi="Garamond" w:cs="Calibri"/>
          <w:sz w:val="22"/>
          <w:szCs w:val="22"/>
        </w:rPr>
        <w:t xml:space="preserve">partners with information to </w:t>
      </w:r>
      <w:r w:rsidR="00755EA4" w:rsidRPr="00AB711E">
        <w:rPr>
          <w:rFonts w:ascii="Garamond" w:hAnsi="Garamond" w:cs="Calibri"/>
          <w:sz w:val="22"/>
          <w:szCs w:val="22"/>
        </w:rPr>
        <w:t>achieve their ITN coverage goals</w:t>
      </w:r>
      <w:r w:rsidRPr="00AB711E">
        <w:rPr>
          <w:rFonts w:ascii="Garamond" w:hAnsi="Garamond" w:cs="Calibri"/>
          <w:sz w:val="22"/>
          <w:szCs w:val="22"/>
        </w:rPr>
        <w:t xml:space="preserve">, informed by </w:t>
      </w:r>
      <w:r w:rsidRPr="00AB711E">
        <w:rPr>
          <w:rFonts w:ascii="Garamond" w:hAnsi="Garamond"/>
          <w:sz w:val="22"/>
          <w:szCs w:val="22"/>
        </w:rPr>
        <w:t>global best practice</w:t>
      </w:r>
      <w:r w:rsidR="0022182F" w:rsidRPr="00AB711E">
        <w:rPr>
          <w:rFonts w:ascii="Garamond" w:hAnsi="Garamond"/>
          <w:sz w:val="22"/>
          <w:szCs w:val="22"/>
        </w:rPr>
        <w:t>s</w:t>
      </w:r>
      <w:r w:rsidRPr="00AB711E">
        <w:rPr>
          <w:rFonts w:ascii="Garamond" w:hAnsi="Garamond"/>
          <w:sz w:val="22"/>
          <w:szCs w:val="22"/>
        </w:rPr>
        <w:t xml:space="preserve">. </w:t>
      </w:r>
      <w:r w:rsidR="00755807" w:rsidRPr="00AB711E">
        <w:rPr>
          <w:rFonts w:ascii="Garamond" w:hAnsi="Garamond"/>
          <w:sz w:val="22"/>
          <w:szCs w:val="22"/>
        </w:rPr>
        <w:t xml:space="preserve">An assessment of this type </w:t>
      </w:r>
      <w:r w:rsidR="00661A23" w:rsidRPr="00AB711E">
        <w:rPr>
          <w:rFonts w:ascii="Garamond" w:hAnsi="Garamond"/>
          <w:sz w:val="22"/>
          <w:szCs w:val="22"/>
        </w:rPr>
        <w:t>should</w:t>
      </w:r>
      <w:r w:rsidR="00755807" w:rsidRPr="00AB711E">
        <w:rPr>
          <w:rFonts w:ascii="Garamond" w:hAnsi="Garamond"/>
          <w:sz w:val="22"/>
          <w:szCs w:val="22"/>
        </w:rPr>
        <w:t xml:space="preserve"> be commissioned </w:t>
      </w:r>
      <w:proofErr w:type="gramStart"/>
      <w:r w:rsidR="00661A23" w:rsidRPr="00AB711E">
        <w:rPr>
          <w:rFonts w:ascii="Garamond" w:hAnsi="Garamond"/>
          <w:sz w:val="22"/>
          <w:szCs w:val="22"/>
        </w:rPr>
        <w:t>in order to</w:t>
      </w:r>
      <w:proofErr w:type="gramEnd"/>
      <w:r w:rsidR="00AB711E" w:rsidRPr="00AB711E">
        <w:rPr>
          <w:rFonts w:ascii="Garamond" w:hAnsi="Garamond"/>
          <w:sz w:val="22"/>
          <w:szCs w:val="22"/>
        </w:rPr>
        <w:t xml:space="preserve"> </w:t>
      </w:r>
      <w:r w:rsidR="00A93BA5" w:rsidRPr="00AB711E">
        <w:rPr>
          <w:rFonts w:ascii="Garamond" w:hAnsi="Garamond" w:cs="Calibri"/>
          <w:sz w:val="22"/>
          <w:szCs w:val="22"/>
        </w:rPr>
        <w:t>a</w:t>
      </w:r>
      <w:r w:rsidR="00661A23" w:rsidRPr="00AB711E">
        <w:rPr>
          <w:rFonts w:ascii="Garamond" w:hAnsi="Garamond" w:cs="Calibri"/>
          <w:sz w:val="22"/>
          <w:szCs w:val="22"/>
        </w:rPr>
        <w:t xml:space="preserve">ssess and provide recommendations </w:t>
      </w:r>
      <w:r w:rsidR="00755807" w:rsidRPr="00AB711E">
        <w:rPr>
          <w:rFonts w:ascii="Garamond" w:hAnsi="Garamond" w:cs="Calibri"/>
          <w:sz w:val="22"/>
          <w:szCs w:val="22"/>
        </w:rPr>
        <w:t xml:space="preserve">for </w:t>
      </w:r>
      <w:r w:rsidR="00661A23" w:rsidRPr="00AB711E">
        <w:rPr>
          <w:rFonts w:ascii="Garamond" w:hAnsi="Garamond" w:cs="Calibri"/>
          <w:sz w:val="22"/>
          <w:szCs w:val="22"/>
        </w:rPr>
        <w:t>improving or expanding existing channels</w:t>
      </w:r>
      <w:r w:rsidR="00A93BA5" w:rsidRPr="00AB711E">
        <w:rPr>
          <w:rFonts w:ascii="Garamond" w:hAnsi="Garamond" w:cs="Calibri"/>
          <w:sz w:val="22"/>
          <w:szCs w:val="22"/>
        </w:rPr>
        <w:t>.</w:t>
      </w:r>
    </w:p>
    <w:p w14:paraId="7818E9D4" w14:textId="2998E392" w:rsidR="00DF63EE" w:rsidRPr="00AB711E" w:rsidRDefault="00426B50" w:rsidP="00B41EA8">
      <w:pPr>
        <w:pStyle w:val="Acronyms"/>
        <w:spacing w:before="120"/>
        <w:ind w:left="0"/>
        <w:jc w:val="both"/>
        <w:rPr>
          <w:szCs w:val="22"/>
        </w:rPr>
      </w:pPr>
      <w:r w:rsidRPr="00AB711E">
        <w:rPr>
          <w:b/>
          <w:bCs/>
          <w:szCs w:val="22"/>
        </w:rPr>
        <w:t>K</w:t>
      </w:r>
      <w:r w:rsidR="00E02755" w:rsidRPr="00AB711E">
        <w:rPr>
          <w:b/>
          <w:bCs/>
          <w:szCs w:val="22"/>
        </w:rPr>
        <w:t>ey o</w:t>
      </w:r>
      <w:r w:rsidR="003A5CBD" w:rsidRPr="00AB711E">
        <w:rPr>
          <w:b/>
          <w:bCs/>
          <w:szCs w:val="22"/>
        </w:rPr>
        <w:t>bjectives</w:t>
      </w:r>
      <w:r w:rsidR="00E02755" w:rsidRPr="00AB711E">
        <w:rPr>
          <w:szCs w:val="22"/>
        </w:rPr>
        <w:t xml:space="preserve"> of the assessment </w:t>
      </w:r>
      <w:r w:rsidR="00712D70" w:rsidRPr="00AB711E">
        <w:rPr>
          <w:szCs w:val="22"/>
        </w:rPr>
        <w:t>are</w:t>
      </w:r>
      <w:r w:rsidR="003A5CBD" w:rsidRPr="00AB711E">
        <w:rPr>
          <w:szCs w:val="22"/>
        </w:rPr>
        <w:t>:</w:t>
      </w:r>
    </w:p>
    <w:p w14:paraId="3D4B9DFA" w14:textId="77777777" w:rsidR="008650FA" w:rsidRPr="008650FA" w:rsidRDefault="00AB711E" w:rsidP="00B41EA8">
      <w:pPr>
        <w:pStyle w:val="Acronyms"/>
        <w:numPr>
          <w:ilvl w:val="0"/>
          <w:numId w:val="15"/>
        </w:numPr>
        <w:spacing w:before="120"/>
        <w:ind w:left="360"/>
        <w:jc w:val="both"/>
        <w:rPr>
          <w:rFonts w:cstheme="minorHAnsi"/>
          <w:color w:val="000000" w:themeColor="text1"/>
          <w:szCs w:val="22"/>
        </w:rPr>
      </w:pPr>
      <w:r>
        <w:rPr>
          <w:rFonts w:cstheme="minorHAnsi"/>
          <w:color w:val="000000" w:themeColor="text1"/>
          <w:szCs w:val="22"/>
          <w:shd w:val="clear" w:color="auto" w:fill="FFFFFF"/>
        </w:rPr>
        <w:t xml:space="preserve">Support a qualitative review of continuous ITN </w:t>
      </w:r>
      <w:proofErr w:type="gramStart"/>
      <w:r>
        <w:rPr>
          <w:rFonts w:cstheme="minorHAnsi"/>
          <w:color w:val="000000" w:themeColor="text1"/>
          <w:szCs w:val="22"/>
          <w:shd w:val="clear" w:color="auto" w:fill="FFFFFF"/>
        </w:rPr>
        <w:t>distribution</w:t>
      </w:r>
      <w:r w:rsidR="008650FA">
        <w:rPr>
          <w:rFonts w:cstheme="minorHAnsi"/>
          <w:color w:val="000000" w:themeColor="text1"/>
          <w:szCs w:val="22"/>
          <w:shd w:val="clear" w:color="auto" w:fill="FFFFFF"/>
        </w:rPr>
        <w:t>;</w:t>
      </w:r>
      <w:proofErr w:type="gramEnd"/>
    </w:p>
    <w:p w14:paraId="6E51DCF9" w14:textId="77777777" w:rsidR="008650FA" w:rsidRPr="008650FA" w:rsidRDefault="008650FA" w:rsidP="00B41EA8">
      <w:pPr>
        <w:pStyle w:val="Acronyms"/>
        <w:numPr>
          <w:ilvl w:val="0"/>
          <w:numId w:val="15"/>
        </w:numPr>
        <w:spacing w:before="120"/>
        <w:ind w:left="360"/>
        <w:jc w:val="both"/>
        <w:rPr>
          <w:rFonts w:cstheme="minorHAnsi"/>
          <w:color w:val="000000" w:themeColor="text1"/>
          <w:szCs w:val="22"/>
        </w:rPr>
      </w:pPr>
      <w:r>
        <w:rPr>
          <w:rFonts w:cstheme="minorHAnsi"/>
          <w:color w:val="000000" w:themeColor="text1"/>
          <w:szCs w:val="22"/>
          <w:shd w:val="clear" w:color="auto" w:fill="FFFFFF"/>
        </w:rPr>
        <w:t xml:space="preserve">Provide information to the NMP and other stakeholders to better understand continuous ITN distribution and to make informed decisions to improve on-going continuous </w:t>
      </w:r>
      <w:proofErr w:type="gramStart"/>
      <w:r>
        <w:rPr>
          <w:rFonts w:cstheme="minorHAnsi"/>
          <w:color w:val="000000" w:themeColor="text1"/>
          <w:szCs w:val="22"/>
          <w:shd w:val="clear" w:color="auto" w:fill="FFFFFF"/>
        </w:rPr>
        <w:t>distribution;</w:t>
      </w:r>
      <w:proofErr w:type="gramEnd"/>
    </w:p>
    <w:p w14:paraId="5C11BFA5" w14:textId="77777777" w:rsidR="008650FA" w:rsidRPr="008650FA" w:rsidRDefault="008650FA" w:rsidP="00B41EA8">
      <w:pPr>
        <w:pStyle w:val="Acronyms"/>
        <w:numPr>
          <w:ilvl w:val="0"/>
          <w:numId w:val="15"/>
        </w:numPr>
        <w:spacing w:before="120"/>
        <w:ind w:left="360"/>
        <w:jc w:val="both"/>
        <w:rPr>
          <w:rFonts w:cstheme="minorHAnsi"/>
          <w:color w:val="000000" w:themeColor="text1"/>
          <w:szCs w:val="22"/>
        </w:rPr>
      </w:pPr>
      <w:r>
        <w:rPr>
          <w:rFonts w:cstheme="minorHAnsi"/>
          <w:color w:val="000000" w:themeColor="text1"/>
          <w:szCs w:val="22"/>
          <w:shd w:val="clear" w:color="auto" w:fill="FFFFFF"/>
        </w:rPr>
        <w:t xml:space="preserve">Standardize continuous ITN distribution assessments based on best </w:t>
      </w:r>
      <w:proofErr w:type="gramStart"/>
      <w:r>
        <w:rPr>
          <w:rFonts w:cstheme="minorHAnsi"/>
          <w:color w:val="000000" w:themeColor="text1"/>
          <w:szCs w:val="22"/>
          <w:shd w:val="clear" w:color="auto" w:fill="FFFFFF"/>
        </w:rPr>
        <w:t>practices;</w:t>
      </w:r>
      <w:proofErr w:type="gramEnd"/>
    </w:p>
    <w:p w14:paraId="6B10DF51" w14:textId="77777777" w:rsidR="008650FA" w:rsidRPr="008650FA" w:rsidRDefault="008650FA" w:rsidP="00B41EA8">
      <w:pPr>
        <w:pStyle w:val="Acronyms"/>
        <w:numPr>
          <w:ilvl w:val="0"/>
          <w:numId w:val="15"/>
        </w:numPr>
        <w:spacing w:before="120"/>
        <w:ind w:left="360"/>
        <w:jc w:val="both"/>
        <w:rPr>
          <w:rFonts w:cstheme="minorHAnsi"/>
          <w:color w:val="000000" w:themeColor="text1"/>
          <w:szCs w:val="22"/>
        </w:rPr>
      </w:pPr>
      <w:r>
        <w:rPr>
          <w:rFonts w:cstheme="minorHAnsi"/>
          <w:color w:val="000000" w:themeColor="text1"/>
          <w:szCs w:val="22"/>
          <w:shd w:val="clear" w:color="auto" w:fill="FFFFFF"/>
        </w:rPr>
        <w:t xml:space="preserve">Inform national planning and provide evidence regarding gaps to maintain ITN </w:t>
      </w:r>
      <w:proofErr w:type="gramStart"/>
      <w:r>
        <w:rPr>
          <w:rFonts w:cstheme="minorHAnsi"/>
          <w:color w:val="000000" w:themeColor="text1"/>
          <w:szCs w:val="22"/>
          <w:shd w:val="clear" w:color="auto" w:fill="FFFFFF"/>
        </w:rPr>
        <w:t>coverage;</w:t>
      </w:r>
      <w:proofErr w:type="gramEnd"/>
    </w:p>
    <w:p w14:paraId="5C6FEF67" w14:textId="77777777" w:rsidR="008650FA" w:rsidRPr="008650FA" w:rsidRDefault="008650FA" w:rsidP="00B41EA8">
      <w:pPr>
        <w:pStyle w:val="Acronyms"/>
        <w:numPr>
          <w:ilvl w:val="0"/>
          <w:numId w:val="15"/>
        </w:numPr>
        <w:spacing w:before="120"/>
        <w:ind w:left="360"/>
        <w:jc w:val="both"/>
        <w:rPr>
          <w:rFonts w:cstheme="minorHAnsi"/>
          <w:color w:val="000000" w:themeColor="text1"/>
          <w:szCs w:val="22"/>
        </w:rPr>
      </w:pPr>
      <w:r>
        <w:rPr>
          <w:rFonts w:cstheme="minorHAnsi"/>
          <w:color w:val="000000" w:themeColor="text1"/>
          <w:szCs w:val="22"/>
          <w:shd w:val="clear" w:color="auto" w:fill="FFFFFF"/>
        </w:rPr>
        <w:t>Identify and prioritize efficiency improvements in continuous ITN distribution; and</w:t>
      </w:r>
    </w:p>
    <w:p w14:paraId="63E263A7" w14:textId="64069BD9" w:rsidR="00737864" w:rsidRDefault="008650FA" w:rsidP="00B41EA8">
      <w:pPr>
        <w:pStyle w:val="Acronyms"/>
        <w:numPr>
          <w:ilvl w:val="0"/>
          <w:numId w:val="15"/>
        </w:numPr>
        <w:spacing w:before="120"/>
        <w:ind w:left="360"/>
        <w:jc w:val="both"/>
        <w:rPr>
          <w:rFonts w:cs="Calibri"/>
          <w:color w:val="000000"/>
          <w:szCs w:val="22"/>
        </w:rPr>
      </w:pPr>
      <w:bookmarkStart w:id="21" w:name="_Hlk43115702"/>
      <w:r>
        <w:rPr>
          <w:rFonts w:cstheme="minorHAnsi"/>
          <w:color w:val="000000" w:themeColor="text1"/>
          <w:szCs w:val="22"/>
          <w:shd w:val="clear" w:color="auto" w:fill="FFFFFF"/>
        </w:rPr>
        <w:t xml:space="preserve">Identify areas of collaboration and coordination with malaria prevention and vector control partners. </w:t>
      </w:r>
    </w:p>
    <w:bookmarkEnd w:id="21"/>
    <w:p w14:paraId="48D1E405" w14:textId="0B289325" w:rsidR="0013341A" w:rsidRDefault="00737864" w:rsidP="00B41EA8">
      <w:pPr>
        <w:pBdr>
          <w:top w:val="nil"/>
          <w:left w:val="nil"/>
          <w:bottom w:val="nil"/>
          <w:right w:val="nil"/>
          <w:between w:val="nil"/>
        </w:pBdr>
        <w:spacing w:before="120" w:after="120"/>
        <w:contextualSpacing/>
        <w:jc w:val="both"/>
        <w:rPr>
          <w:rFonts w:ascii="Garamond" w:hAnsi="Garamond" w:cs="Calibri"/>
          <w:color w:val="000000"/>
          <w:sz w:val="22"/>
          <w:szCs w:val="22"/>
        </w:rPr>
      </w:pPr>
      <w:r w:rsidRPr="00E01CE5">
        <w:rPr>
          <w:rFonts w:ascii="Garamond" w:hAnsi="Garamond" w:cs="Calibri"/>
          <w:b/>
          <w:bCs/>
          <w:color w:val="000000"/>
          <w:sz w:val="22"/>
          <w:szCs w:val="22"/>
        </w:rPr>
        <w:t xml:space="preserve">Note: </w:t>
      </w:r>
      <w:r w:rsidRPr="00E01CE5">
        <w:rPr>
          <w:rFonts w:ascii="Garamond" w:hAnsi="Garamond" w:cs="Calibri"/>
          <w:color w:val="000000"/>
          <w:sz w:val="22"/>
          <w:szCs w:val="22"/>
        </w:rPr>
        <w:t xml:space="preserve">The assessment is conducted as a review of </w:t>
      </w:r>
      <w:r w:rsidR="000E5F11" w:rsidRPr="00E01CE5">
        <w:rPr>
          <w:rFonts w:ascii="Garamond" w:hAnsi="Garamond" w:cs="Calibri"/>
          <w:color w:val="000000"/>
          <w:sz w:val="22"/>
          <w:szCs w:val="22"/>
        </w:rPr>
        <w:t xml:space="preserve">existing </w:t>
      </w:r>
      <w:r w:rsidR="00DB5E9A" w:rsidRPr="00E01CE5">
        <w:rPr>
          <w:rFonts w:ascii="Garamond" w:hAnsi="Garamond" w:cs="Calibri"/>
          <w:color w:val="000000"/>
          <w:sz w:val="22"/>
          <w:szCs w:val="22"/>
        </w:rPr>
        <w:t xml:space="preserve">distribution systems in place, as it focuses on document review and key informant interviews with health personnel and community partners involved in ITN distribution. As such, the Discussion Guide for key informant interviews in </w:t>
      </w:r>
      <w:r w:rsidR="000E5F11" w:rsidRPr="00E01CE5">
        <w:rPr>
          <w:rFonts w:ascii="Garamond" w:hAnsi="Garamond" w:cs="Calibri"/>
          <w:color w:val="000000"/>
          <w:sz w:val="22"/>
          <w:szCs w:val="22"/>
        </w:rPr>
        <w:t xml:space="preserve">the </w:t>
      </w:r>
      <w:r w:rsidR="00DB5E9A" w:rsidRPr="00E01CE5">
        <w:rPr>
          <w:rFonts w:ascii="Garamond" w:hAnsi="Garamond" w:cs="Calibri"/>
          <w:color w:val="000000"/>
          <w:sz w:val="22"/>
          <w:szCs w:val="22"/>
        </w:rPr>
        <w:t xml:space="preserve">Assessment Tools at </w:t>
      </w:r>
      <w:r w:rsidR="00CD0F9E" w:rsidRPr="00E01CE5">
        <w:rPr>
          <w:rFonts w:ascii="Garamond" w:hAnsi="Garamond" w:cs="Calibri"/>
          <w:color w:val="000000"/>
          <w:sz w:val="22"/>
          <w:szCs w:val="22"/>
        </w:rPr>
        <w:t>Continuousdistribution.org</w:t>
      </w:r>
      <w:r w:rsidR="00DB5E9A" w:rsidRPr="00E01CE5">
        <w:rPr>
          <w:rFonts w:ascii="Garamond" w:hAnsi="Garamond" w:cs="Calibri"/>
          <w:color w:val="000000"/>
          <w:sz w:val="22"/>
          <w:szCs w:val="22"/>
        </w:rPr>
        <w:t xml:space="preserve"> (Tool 9) was developed and primarily used for assessment of ITN distribution through routine health services. </w:t>
      </w:r>
      <w:r w:rsidR="001E1322" w:rsidRPr="00E01CE5">
        <w:rPr>
          <w:rFonts w:ascii="Garamond" w:hAnsi="Garamond" w:cs="Calibri"/>
          <w:color w:val="000000"/>
          <w:sz w:val="22"/>
          <w:szCs w:val="22"/>
        </w:rPr>
        <w:t>Additional q</w:t>
      </w:r>
      <w:r w:rsidR="000E5F11" w:rsidRPr="00E01CE5">
        <w:rPr>
          <w:rFonts w:ascii="Garamond" w:hAnsi="Garamond" w:cs="Calibri"/>
          <w:color w:val="000000"/>
          <w:sz w:val="22"/>
          <w:szCs w:val="22"/>
        </w:rPr>
        <w:t>uestions were included</w:t>
      </w:r>
      <w:r w:rsidR="001E1322" w:rsidRPr="00E01CE5">
        <w:rPr>
          <w:rFonts w:ascii="Garamond" w:hAnsi="Garamond" w:cs="Calibri"/>
          <w:color w:val="000000"/>
          <w:sz w:val="22"/>
          <w:szCs w:val="22"/>
        </w:rPr>
        <w:t xml:space="preserve"> regarding the feasibility of adding </w:t>
      </w:r>
      <w:r w:rsidR="0022182F" w:rsidRPr="00E01CE5">
        <w:rPr>
          <w:rFonts w:ascii="Garamond" w:hAnsi="Garamond" w:cs="Calibri"/>
          <w:color w:val="000000"/>
          <w:sz w:val="22"/>
          <w:szCs w:val="22"/>
        </w:rPr>
        <w:t>other channels of ITN distribution through schools, community structures, or other channels.</w:t>
      </w:r>
      <w:r w:rsidR="001E1322" w:rsidRPr="00E01CE5">
        <w:rPr>
          <w:rFonts w:ascii="Garamond" w:hAnsi="Garamond"/>
          <w:color w:val="000000"/>
          <w:sz w:val="22"/>
          <w:szCs w:val="22"/>
        </w:rPr>
        <w:t xml:space="preserve"> </w:t>
      </w:r>
      <w:r w:rsidR="000E5F11" w:rsidRPr="00E01CE5">
        <w:rPr>
          <w:rFonts w:ascii="Garamond" w:hAnsi="Garamond"/>
          <w:color w:val="000000"/>
          <w:sz w:val="22"/>
          <w:szCs w:val="22"/>
        </w:rPr>
        <w:t xml:space="preserve">Where other </w:t>
      </w:r>
      <w:r w:rsidR="000E5F11" w:rsidRPr="00E01CE5">
        <w:rPr>
          <w:rFonts w:ascii="Garamond" w:hAnsi="Garamond" w:cs="Calibri"/>
          <w:color w:val="000000"/>
          <w:sz w:val="22"/>
          <w:szCs w:val="22"/>
        </w:rPr>
        <w:t>continuous ITN channels were already in place in each country, a</w:t>
      </w:r>
      <w:r w:rsidR="00DB5E9A" w:rsidRPr="00E01CE5">
        <w:rPr>
          <w:rFonts w:ascii="Garamond" w:hAnsi="Garamond" w:cs="Calibri"/>
          <w:color w:val="000000"/>
          <w:sz w:val="22"/>
          <w:szCs w:val="22"/>
        </w:rPr>
        <w:t xml:space="preserve">dditional questions were </w:t>
      </w:r>
      <w:r w:rsidR="009C744E" w:rsidRPr="00E01CE5">
        <w:rPr>
          <w:rFonts w:ascii="Garamond" w:hAnsi="Garamond" w:cs="Calibri"/>
          <w:color w:val="000000"/>
          <w:sz w:val="22"/>
          <w:szCs w:val="22"/>
        </w:rPr>
        <w:t>included</w:t>
      </w:r>
      <w:r w:rsidR="00DB5E9A" w:rsidRPr="00E01CE5">
        <w:rPr>
          <w:rFonts w:ascii="Garamond" w:hAnsi="Garamond" w:cs="Calibri"/>
          <w:color w:val="000000"/>
          <w:sz w:val="22"/>
          <w:szCs w:val="22"/>
        </w:rPr>
        <w:t xml:space="preserve"> </w:t>
      </w:r>
      <w:r w:rsidR="000E5F11" w:rsidRPr="00E01CE5">
        <w:rPr>
          <w:rFonts w:ascii="Garamond" w:hAnsi="Garamond" w:cs="Calibri"/>
          <w:color w:val="000000"/>
          <w:sz w:val="22"/>
          <w:szCs w:val="22"/>
        </w:rPr>
        <w:t>to gather inputs specific to those channels</w:t>
      </w:r>
      <w:r w:rsidR="009C744E" w:rsidRPr="00E01CE5">
        <w:rPr>
          <w:rFonts w:ascii="Garamond" w:hAnsi="Garamond" w:cs="Calibri"/>
          <w:color w:val="000000"/>
          <w:sz w:val="22"/>
          <w:szCs w:val="22"/>
        </w:rPr>
        <w:t xml:space="preserve">. </w:t>
      </w:r>
    </w:p>
    <w:p w14:paraId="6B8C7F83" w14:textId="60F1EACE" w:rsidR="0013341A" w:rsidRPr="00314ADD" w:rsidRDefault="0013341A" w:rsidP="00314ADD">
      <w:pPr>
        <w:pStyle w:val="Heading2"/>
      </w:pPr>
      <w:bookmarkStart w:id="22" w:name="_Toc43130663"/>
      <w:r>
        <w:t xml:space="preserve">Toolkit </w:t>
      </w:r>
      <w:r w:rsidR="0003352A">
        <w:t xml:space="preserve">Purpose and </w:t>
      </w:r>
      <w:r>
        <w:t>Objectives</w:t>
      </w:r>
      <w:bookmarkEnd w:id="22"/>
      <w:r>
        <w:t xml:space="preserve"> </w:t>
      </w:r>
    </w:p>
    <w:p w14:paraId="2AD70AF3" w14:textId="514D3E06" w:rsidR="0003352A" w:rsidRPr="00314ADD" w:rsidRDefault="0003352A" w:rsidP="00B41EA8">
      <w:pPr>
        <w:spacing w:before="120" w:after="120"/>
        <w:rPr>
          <w:rFonts w:ascii="Garamond" w:hAnsi="Garamond"/>
          <w:sz w:val="22"/>
          <w:szCs w:val="22"/>
        </w:rPr>
      </w:pPr>
      <w:r w:rsidRPr="00314ADD">
        <w:rPr>
          <w:rFonts w:ascii="Garamond" w:hAnsi="Garamond"/>
          <w:sz w:val="22"/>
          <w:szCs w:val="22"/>
        </w:rPr>
        <w:t xml:space="preserve">The </w:t>
      </w:r>
      <w:r w:rsidRPr="00314ADD">
        <w:rPr>
          <w:rFonts w:ascii="Garamond" w:hAnsi="Garamond"/>
          <w:b/>
          <w:bCs/>
          <w:sz w:val="22"/>
          <w:szCs w:val="22"/>
        </w:rPr>
        <w:t>purpose</w:t>
      </w:r>
      <w:r w:rsidRPr="00314ADD">
        <w:rPr>
          <w:rFonts w:ascii="Garamond" w:hAnsi="Garamond"/>
          <w:sz w:val="22"/>
          <w:szCs w:val="22"/>
        </w:rPr>
        <w:t xml:space="preserve"> of this toolkit is </w:t>
      </w:r>
      <w:r w:rsidR="000A030E" w:rsidRPr="00314ADD">
        <w:rPr>
          <w:rFonts w:ascii="Garamond" w:hAnsi="Garamond"/>
          <w:sz w:val="22"/>
          <w:szCs w:val="22"/>
        </w:rPr>
        <w:t>to provide stakeholders with step-by-step guidance and materials to conduct similar ITN continuous distribution assessment</w:t>
      </w:r>
      <w:r w:rsidR="00661005" w:rsidRPr="00314ADD">
        <w:rPr>
          <w:rFonts w:ascii="Garamond" w:hAnsi="Garamond"/>
          <w:sz w:val="22"/>
          <w:szCs w:val="22"/>
        </w:rPr>
        <w:t>s</w:t>
      </w:r>
      <w:r w:rsidR="000A030E" w:rsidRPr="00314ADD">
        <w:rPr>
          <w:rFonts w:ascii="Garamond" w:hAnsi="Garamond"/>
          <w:sz w:val="22"/>
          <w:szCs w:val="22"/>
        </w:rPr>
        <w:t xml:space="preserve">. </w:t>
      </w:r>
    </w:p>
    <w:p w14:paraId="2F20F482" w14:textId="1804454D" w:rsidR="000A030E" w:rsidRPr="00314ADD" w:rsidRDefault="000A030E" w:rsidP="00B41EA8">
      <w:pPr>
        <w:spacing w:before="120" w:after="120"/>
        <w:rPr>
          <w:rFonts w:ascii="Garamond" w:eastAsia="Times New Roman" w:hAnsi="Garamond" w:cs="Calibri"/>
          <w:color w:val="000000"/>
          <w:sz w:val="22"/>
          <w:szCs w:val="22"/>
        </w:rPr>
      </w:pPr>
      <w:r w:rsidRPr="00314ADD">
        <w:rPr>
          <w:rFonts w:ascii="Garamond" w:eastAsia="Times New Roman" w:hAnsi="Garamond" w:cs="Calibri"/>
          <w:color w:val="000000"/>
          <w:sz w:val="22"/>
          <w:szCs w:val="22"/>
        </w:rPr>
        <w:t>The objective</w:t>
      </w:r>
      <w:r w:rsidR="00737864" w:rsidRPr="00314ADD">
        <w:rPr>
          <w:rFonts w:ascii="Garamond" w:eastAsia="Times New Roman" w:hAnsi="Garamond" w:cs="Calibri"/>
          <w:color w:val="000000"/>
          <w:sz w:val="22"/>
          <w:szCs w:val="22"/>
        </w:rPr>
        <w:t>s</w:t>
      </w:r>
      <w:r w:rsidRPr="00314ADD">
        <w:rPr>
          <w:rFonts w:ascii="Garamond" w:eastAsia="Times New Roman" w:hAnsi="Garamond" w:cs="Calibri"/>
          <w:color w:val="000000"/>
          <w:sz w:val="22"/>
          <w:szCs w:val="22"/>
        </w:rPr>
        <w:t xml:space="preserve"> of the toolkit </w:t>
      </w:r>
      <w:r w:rsidR="00737864" w:rsidRPr="00314ADD">
        <w:rPr>
          <w:rFonts w:ascii="Garamond" w:eastAsia="Times New Roman" w:hAnsi="Garamond" w:cs="Calibri"/>
          <w:color w:val="000000"/>
          <w:sz w:val="22"/>
          <w:szCs w:val="22"/>
        </w:rPr>
        <w:t>are</w:t>
      </w:r>
      <w:r w:rsidRPr="00314ADD">
        <w:rPr>
          <w:rFonts w:ascii="Garamond" w:eastAsia="Times New Roman" w:hAnsi="Garamond" w:cs="Calibri"/>
          <w:color w:val="000000"/>
          <w:sz w:val="22"/>
          <w:szCs w:val="22"/>
        </w:rPr>
        <w:t xml:space="preserve"> to: </w:t>
      </w:r>
    </w:p>
    <w:p w14:paraId="61041E70" w14:textId="77777777" w:rsidR="008403D4" w:rsidRPr="008403D4" w:rsidRDefault="00314ADD" w:rsidP="00B41EA8">
      <w:pPr>
        <w:pStyle w:val="Acronyms"/>
        <w:numPr>
          <w:ilvl w:val="0"/>
          <w:numId w:val="15"/>
        </w:numPr>
        <w:spacing w:before="120"/>
        <w:ind w:left="360"/>
        <w:jc w:val="both"/>
        <w:rPr>
          <w:rFonts w:cs="Calibri"/>
          <w:color w:val="000000"/>
          <w:szCs w:val="22"/>
        </w:rPr>
      </w:pPr>
      <w:r>
        <w:rPr>
          <w:rFonts w:cstheme="minorHAnsi"/>
          <w:color w:val="000000" w:themeColor="text1"/>
          <w:szCs w:val="22"/>
          <w:shd w:val="clear" w:color="auto" w:fill="FFFFFF"/>
        </w:rPr>
        <w:t>Walk users through the rationale for an assessment of existing continuous distribution channel</w:t>
      </w:r>
      <w:r w:rsidR="008403D4">
        <w:rPr>
          <w:rFonts w:cstheme="minorHAnsi"/>
          <w:color w:val="000000" w:themeColor="text1"/>
          <w:szCs w:val="22"/>
          <w:shd w:val="clear" w:color="auto" w:fill="FFFFFF"/>
        </w:rPr>
        <w:t>s</w:t>
      </w:r>
    </w:p>
    <w:p w14:paraId="70CD5027" w14:textId="77777777" w:rsidR="008403D4" w:rsidRPr="008403D4" w:rsidRDefault="008403D4" w:rsidP="00B41EA8">
      <w:pPr>
        <w:pStyle w:val="Acronyms"/>
        <w:numPr>
          <w:ilvl w:val="0"/>
          <w:numId w:val="15"/>
        </w:numPr>
        <w:spacing w:before="120"/>
        <w:ind w:left="360"/>
        <w:jc w:val="both"/>
        <w:rPr>
          <w:rFonts w:cs="Calibri"/>
          <w:color w:val="000000"/>
          <w:szCs w:val="22"/>
        </w:rPr>
      </w:pPr>
      <w:r>
        <w:rPr>
          <w:rFonts w:cstheme="minorHAnsi"/>
          <w:color w:val="000000" w:themeColor="text1"/>
          <w:szCs w:val="22"/>
          <w:shd w:val="clear" w:color="auto" w:fill="FFFFFF"/>
        </w:rPr>
        <w:t>Describe the planning steps required, and</w:t>
      </w:r>
    </w:p>
    <w:p w14:paraId="572DF7A7" w14:textId="7138A8C3" w:rsidR="000A030E" w:rsidRPr="00D5218A" w:rsidRDefault="008403D4" w:rsidP="00B41EA8">
      <w:pPr>
        <w:pStyle w:val="Acronyms"/>
        <w:numPr>
          <w:ilvl w:val="0"/>
          <w:numId w:val="15"/>
        </w:numPr>
        <w:spacing w:before="120"/>
        <w:ind w:left="360"/>
        <w:jc w:val="both"/>
        <w:rPr>
          <w:rFonts w:cs="Calibri"/>
          <w:color w:val="000000"/>
          <w:szCs w:val="22"/>
        </w:rPr>
      </w:pPr>
      <w:r>
        <w:rPr>
          <w:rFonts w:cstheme="minorHAnsi"/>
          <w:color w:val="000000" w:themeColor="text1"/>
          <w:szCs w:val="22"/>
          <w:shd w:val="clear" w:color="auto" w:fill="FFFFFF"/>
        </w:rPr>
        <w:t xml:space="preserve">Share sample tools in English and French. </w:t>
      </w:r>
      <w:r w:rsidR="00314ADD">
        <w:rPr>
          <w:rFonts w:cstheme="minorHAnsi"/>
          <w:color w:val="000000" w:themeColor="text1"/>
          <w:szCs w:val="22"/>
          <w:shd w:val="clear" w:color="auto" w:fill="FFFFFF"/>
        </w:rPr>
        <w:t xml:space="preserve">Identify areas of collaboration and coordination with malaria prevention and vector control partners. </w:t>
      </w:r>
    </w:p>
    <w:p w14:paraId="25AF247F" w14:textId="5AE5536A" w:rsidR="00D5218A" w:rsidRDefault="00D5218A" w:rsidP="00D5218A">
      <w:pPr>
        <w:rPr>
          <w:shd w:val="clear" w:color="auto" w:fill="FFFFFF"/>
        </w:rPr>
      </w:pPr>
    </w:p>
    <w:p w14:paraId="7DF10E4A" w14:textId="2B056246" w:rsidR="00D5218A" w:rsidRDefault="00D5218A" w:rsidP="00D5218A">
      <w:pPr>
        <w:rPr>
          <w:shd w:val="clear" w:color="auto" w:fill="FFFFFF"/>
        </w:rPr>
      </w:pPr>
    </w:p>
    <w:p w14:paraId="0897E1D6" w14:textId="0B5CB40C" w:rsidR="00D5218A" w:rsidRDefault="00D5218A" w:rsidP="00D5218A">
      <w:pPr>
        <w:rPr>
          <w:shd w:val="clear" w:color="auto" w:fill="FFFFFF"/>
        </w:rPr>
      </w:pPr>
    </w:p>
    <w:p w14:paraId="7E73F06B" w14:textId="64AB8E91" w:rsidR="00D5218A" w:rsidRDefault="00D5218A" w:rsidP="00D5218A">
      <w:pPr>
        <w:rPr>
          <w:shd w:val="clear" w:color="auto" w:fill="FFFFFF"/>
        </w:rPr>
      </w:pPr>
    </w:p>
    <w:p w14:paraId="24893575" w14:textId="77777777" w:rsidR="00D5218A" w:rsidRDefault="00D5218A" w:rsidP="00D5218A">
      <w:pPr>
        <w:rPr>
          <w:shd w:val="clear" w:color="auto" w:fill="FFFFFF"/>
        </w:rPr>
      </w:pPr>
    </w:p>
    <w:p w14:paraId="047B3CE6" w14:textId="77777777" w:rsidR="00D5218A" w:rsidRPr="00B41EA8" w:rsidRDefault="00D5218A" w:rsidP="00D5218A">
      <w:pPr>
        <w:rPr>
          <w:rFonts w:ascii="Garamond" w:hAnsi="Garamond" w:cs="Calibri"/>
          <w:color w:val="000000"/>
          <w:sz w:val="22"/>
        </w:rPr>
      </w:pPr>
    </w:p>
    <w:p w14:paraId="2C30AD4B" w14:textId="1C59F7EF" w:rsidR="007A2D84" w:rsidRPr="00BB4920" w:rsidRDefault="00426B50">
      <w:pPr>
        <w:pStyle w:val="Heading1"/>
      </w:pPr>
      <w:bookmarkStart w:id="23" w:name="_Toc43130664"/>
      <w:bookmarkStart w:id="24" w:name="_Toc420135288"/>
      <w:r>
        <w:lastRenderedPageBreak/>
        <w:t>Methods and Materials</w:t>
      </w:r>
      <w:bookmarkEnd w:id="23"/>
    </w:p>
    <w:p w14:paraId="39E67C47" w14:textId="056F64DA" w:rsidR="00823635" w:rsidRDefault="009B4E3F" w:rsidP="00823635">
      <w:pPr>
        <w:pStyle w:val="Heading2"/>
      </w:pPr>
      <w:bookmarkStart w:id="25" w:name="_Toc522122496"/>
      <w:bookmarkStart w:id="26" w:name="_Toc525834980"/>
      <w:bookmarkStart w:id="27" w:name="_Toc43130665"/>
      <w:r>
        <w:t>Assessment Q</w:t>
      </w:r>
      <w:r w:rsidR="000A7775">
        <w:t>uestions</w:t>
      </w:r>
      <w:bookmarkEnd w:id="25"/>
      <w:bookmarkEnd w:id="26"/>
      <w:bookmarkEnd w:id="27"/>
    </w:p>
    <w:p w14:paraId="5A3A8E80" w14:textId="58DF8614" w:rsidR="00823635" w:rsidRPr="00F40C2A" w:rsidRDefault="002E6DBD" w:rsidP="00D5218A">
      <w:pPr>
        <w:widowControl w:val="0"/>
        <w:pBdr>
          <w:top w:val="nil"/>
          <w:left w:val="nil"/>
          <w:bottom w:val="nil"/>
          <w:right w:val="nil"/>
          <w:between w:val="nil"/>
        </w:pBdr>
        <w:spacing w:before="120" w:after="120"/>
        <w:ind w:left="720" w:hanging="720"/>
        <w:jc w:val="both"/>
        <w:rPr>
          <w:rFonts w:ascii="Garamond" w:hAnsi="Garamond" w:cs="Calibri"/>
          <w:color w:val="000000"/>
          <w:sz w:val="22"/>
          <w:szCs w:val="22"/>
        </w:rPr>
      </w:pPr>
      <w:r w:rsidRPr="00F40C2A">
        <w:rPr>
          <w:rFonts w:ascii="Garamond" w:hAnsi="Garamond" w:cs="Calibri"/>
          <w:color w:val="000000"/>
          <w:sz w:val="22"/>
          <w:szCs w:val="22"/>
        </w:rPr>
        <w:t>Two</w:t>
      </w:r>
      <w:r w:rsidR="00823635" w:rsidRPr="00F40C2A">
        <w:rPr>
          <w:rFonts w:ascii="Garamond" w:hAnsi="Garamond" w:cs="Calibri"/>
          <w:color w:val="000000"/>
          <w:sz w:val="22"/>
          <w:szCs w:val="22"/>
        </w:rPr>
        <w:t xml:space="preserve"> primary questions </w:t>
      </w:r>
      <w:r w:rsidRPr="00F40C2A">
        <w:rPr>
          <w:rFonts w:ascii="Garamond" w:hAnsi="Garamond" w:cs="Calibri"/>
          <w:color w:val="000000"/>
          <w:sz w:val="22"/>
          <w:szCs w:val="22"/>
        </w:rPr>
        <w:t>guide the assessment</w:t>
      </w:r>
      <w:r w:rsidR="00823635" w:rsidRPr="00F40C2A">
        <w:rPr>
          <w:rFonts w:ascii="Garamond" w:hAnsi="Garamond" w:cs="Calibri"/>
          <w:color w:val="000000"/>
          <w:sz w:val="22"/>
          <w:szCs w:val="22"/>
        </w:rPr>
        <w:t>:</w:t>
      </w:r>
    </w:p>
    <w:p w14:paraId="1379B51F" w14:textId="4AFAA8B7" w:rsidR="00823635" w:rsidRDefault="0023079E" w:rsidP="00D5218A">
      <w:pPr>
        <w:pStyle w:val="Acronyms"/>
        <w:numPr>
          <w:ilvl w:val="0"/>
          <w:numId w:val="15"/>
        </w:numPr>
        <w:spacing w:before="120"/>
        <w:ind w:left="360"/>
        <w:jc w:val="both"/>
        <w:rPr>
          <w:rFonts w:cs="Calibri"/>
          <w:color w:val="000000"/>
          <w:szCs w:val="22"/>
        </w:rPr>
      </w:pPr>
      <w:r>
        <w:rPr>
          <w:rFonts w:cstheme="minorHAnsi"/>
          <w:color w:val="000000" w:themeColor="text1"/>
          <w:szCs w:val="22"/>
          <w:shd w:val="clear" w:color="auto" w:fill="FFFFFF"/>
        </w:rPr>
        <w:t>To what extent is continuous ITN distribution implemented according to existing international</w:t>
      </w:r>
      <w:r w:rsidR="00777F25" w:rsidRPr="00F40C2A">
        <w:rPr>
          <w:rStyle w:val="FootnoteReference"/>
          <w:rFonts w:cs="Calibri"/>
          <w:color w:val="000000"/>
          <w:sz w:val="22"/>
          <w:szCs w:val="22"/>
        </w:rPr>
        <w:footnoteReference w:id="11"/>
      </w:r>
      <w:r w:rsidR="00823635" w:rsidRPr="0023079E">
        <w:rPr>
          <w:rFonts w:cs="Calibri"/>
          <w:color w:val="000000"/>
          <w:szCs w:val="22"/>
        </w:rPr>
        <w:t xml:space="preserve"> and national guidelines and plans across all levels and components (e.g. coordination, beneficiary registration, quantification, personnel, etc.)?</w:t>
      </w:r>
    </w:p>
    <w:p w14:paraId="40B58A9E" w14:textId="4C3A86A1" w:rsidR="00D046DD" w:rsidRPr="0023079E" w:rsidRDefault="00823635" w:rsidP="00D5218A">
      <w:pPr>
        <w:pStyle w:val="Acronyms"/>
        <w:numPr>
          <w:ilvl w:val="0"/>
          <w:numId w:val="15"/>
        </w:numPr>
        <w:spacing w:before="120"/>
        <w:ind w:left="360"/>
        <w:jc w:val="both"/>
        <w:rPr>
          <w:rFonts w:cs="Calibri"/>
          <w:color w:val="000000"/>
          <w:szCs w:val="22"/>
        </w:rPr>
      </w:pPr>
      <w:r w:rsidRPr="0023079E">
        <w:rPr>
          <w:rFonts w:cs="Calibri"/>
          <w:color w:val="000000"/>
          <w:szCs w:val="22"/>
        </w:rPr>
        <w:t xml:space="preserve">Among each component, what improvements can be </w:t>
      </w:r>
      <w:r w:rsidRPr="0023079E">
        <w:rPr>
          <w:rFonts w:cs="Calibri"/>
          <w:szCs w:val="22"/>
        </w:rPr>
        <w:t>identified</w:t>
      </w:r>
      <w:r w:rsidRPr="0023079E">
        <w:rPr>
          <w:rFonts w:cs="Calibri"/>
          <w:color w:val="000000"/>
          <w:szCs w:val="22"/>
        </w:rPr>
        <w:t xml:space="preserve"> to deliver efficiency gains in continuous </w:t>
      </w:r>
      <w:r w:rsidR="002E6DBD" w:rsidRPr="0023079E">
        <w:rPr>
          <w:rFonts w:cs="Calibri"/>
          <w:color w:val="000000"/>
          <w:szCs w:val="22"/>
        </w:rPr>
        <w:t>IT</w:t>
      </w:r>
      <w:r w:rsidRPr="0023079E">
        <w:rPr>
          <w:rFonts w:cs="Calibri"/>
          <w:color w:val="000000"/>
          <w:szCs w:val="22"/>
        </w:rPr>
        <w:t>N distribution</w:t>
      </w:r>
      <w:r w:rsidR="002E6DBD" w:rsidRPr="0023079E">
        <w:rPr>
          <w:rFonts w:cs="Calibri"/>
          <w:color w:val="000000"/>
          <w:szCs w:val="22"/>
        </w:rPr>
        <w:t xml:space="preserve"> in support of ITN access</w:t>
      </w:r>
      <w:r w:rsidRPr="0023079E">
        <w:rPr>
          <w:rFonts w:cs="Calibri"/>
          <w:color w:val="000000"/>
          <w:szCs w:val="22"/>
        </w:rPr>
        <w:t>?</w:t>
      </w:r>
    </w:p>
    <w:p w14:paraId="3B9588F1" w14:textId="7CBE940C" w:rsidR="00823635" w:rsidRDefault="00DF63EE" w:rsidP="00823635">
      <w:pPr>
        <w:pStyle w:val="Heading2"/>
      </w:pPr>
      <w:bookmarkStart w:id="28" w:name="_Toc522122497"/>
      <w:bookmarkStart w:id="29" w:name="_Toc525834981"/>
      <w:bookmarkStart w:id="30" w:name="_Toc43130666"/>
      <w:r>
        <w:t xml:space="preserve">Assessment </w:t>
      </w:r>
      <w:bookmarkEnd w:id="28"/>
      <w:r w:rsidR="00E1242D">
        <w:t>Design</w:t>
      </w:r>
      <w:bookmarkEnd w:id="29"/>
      <w:bookmarkEnd w:id="30"/>
    </w:p>
    <w:p w14:paraId="64CCE31B" w14:textId="6FE8408E" w:rsidR="005B6727" w:rsidRPr="0023079E" w:rsidRDefault="002F29C2" w:rsidP="00D5218A">
      <w:pPr>
        <w:spacing w:before="120" w:after="120"/>
        <w:jc w:val="both"/>
        <w:rPr>
          <w:rFonts w:ascii="Garamond" w:hAnsi="Garamond"/>
          <w:sz w:val="22"/>
          <w:szCs w:val="22"/>
          <w:lang w:val="en"/>
        </w:rPr>
      </w:pPr>
      <w:r w:rsidRPr="00F40C2A">
        <w:rPr>
          <w:rFonts w:ascii="Garamond" w:hAnsi="Garamond"/>
          <w:sz w:val="22"/>
          <w:szCs w:val="22"/>
          <w:lang w:val="en"/>
        </w:rPr>
        <w:t xml:space="preserve">To conduct the assessment, </w:t>
      </w:r>
      <w:r w:rsidR="00BA0C74">
        <w:rPr>
          <w:rFonts w:ascii="Garamond" w:hAnsi="Garamond"/>
          <w:sz w:val="22"/>
          <w:szCs w:val="22"/>
          <w:lang w:val="en"/>
        </w:rPr>
        <w:t>NMP</w:t>
      </w:r>
      <w:r w:rsidR="002E6DBD" w:rsidRPr="00F40C2A">
        <w:rPr>
          <w:rFonts w:ascii="Garamond" w:hAnsi="Garamond"/>
          <w:sz w:val="22"/>
          <w:szCs w:val="22"/>
          <w:lang w:val="en"/>
        </w:rPr>
        <w:t>s</w:t>
      </w:r>
      <w:r w:rsidR="00155254" w:rsidRPr="00F40C2A">
        <w:rPr>
          <w:rFonts w:ascii="Garamond" w:hAnsi="Garamond"/>
          <w:sz w:val="22"/>
          <w:szCs w:val="22"/>
          <w:lang w:val="en"/>
        </w:rPr>
        <w:t xml:space="preserve"> </w:t>
      </w:r>
      <w:r w:rsidR="00712D70">
        <w:rPr>
          <w:rFonts w:ascii="Garamond" w:hAnsi="Garamond"/>
          <w:sz w:val="22"/>
          <w:szCs w:val="22"/>
          <w:lang w:val="en"/>
        </w:rPr>
        <w:t>and the assessment implement</w:t>
      </w:r>
      <w:r w:rsidR="0060439D">
        <w:rPr>
          <w:rFonts w:ascii="Garamond" w:hAnsi="Garamond"/>
          <w:sz w:val="22"/>
          <w:szCs w:val="22"/>
          <w:lang w:val="en"/>
        </w:rPr>
        <w:t>ing</w:t>
      </w:r>
      <w:r w:rsidR="00712D70">
        <w:rPr>
          <w:rFonts w:ascii="Garamond" w:hAnsi="Garamond"/>
          <w:sz w:val="22"/>
          <w:szCs w:val="22"/>
          <w:lang w:val="en"/>
        </w:rPr>
        <w:t xml:space="preserve"> partner </w:t>
      </w:r>
      <w:r w:rsidR="00C75B04" w:rsidRPr="00F40C2A">
        <w:rPr>
          <w:rFonts w:ascii="Garamond" w:hAnsi="Garamond" w:cs="Calibri"/>
          <w:sz w:val="22"/>
          <w:szCs w:val="22"/>
        </w:rPr>
        <w:t>use qualitative methods</w:t>
      </w:r>
      <w:r w:rsidR="00712D70">
        <w:rPr>
          <w:rFonts w:ascii="Garamond" w:hAnsi="Garamond" w:cs="Calibri"/>
          <w:sz w:val="22"/>
          <w:szCs w:val="22"/>
        </w:rPr>
        <w:t>,</w:t>
      </w:r>
      <w:r w:rsidR="00C75B04" w:rsidRPr="00F40C2A">
        <w:rPr>
          <w:rFonts w:ascii="Garamond" w:hAnsi="Garamond" w:cs="Calibri"/>
          <w:sz w:val="22"/>
          <w:szCs w:val="22"/>
        </w:rPr>
        <w:t xml:space="preserve"> including record and document review, </w:t>
      </w:r>
      <w:r w:rsidR="00E033C6" w:rsidRPr="00F40C2A">
        <w:rPr>
          <w:rFonts w:ascii="Garamond" w:hAnsi="Garamond" w:cs="Calibri"/>
          <w:sz w:val="22"/>
          <w:szCs w:val="22"/>
        </w:rPr>
        <w:t xml:space="preserve">and </w:t>
      </w:r>
      <w:r w:rsidR="00155254" w:rsidRPr="00F40C2A">
        <w:rPr>
          <w:rFonts w:ascii="Garamond" w:hAnsi="Garamond"/>
          <w:sz w:val="22"/>
          <w:szCs w:val="22"/>
          <w:lang w:val="en"/>
        </w:rPr>
        <w:t>a series of semi-structured interviews</w:t>
      </w:r>
      <w:r w:rsidR="00712D70">
        <w:rPr>
          <w:rFonts w:ascii="Garamond" w:hAnsi="Garamond"/>
          <w:sz w:val="22"/>
          <w:szCs w:val="22"/>
          <w:lang w:val="en"/>
        </w:rPr>
        <w:t xml:space="preserve"> with </w:t>
      </w:r>
      <w:r w:rsidR="003E1273" w:rsidRPr="00F40C2A">
        <w:rPr>
          <w:rFonts w:ascii="Garamond" w:hAnsi="Garamond"/>
          <w:sz w:val="22"/>
          <w:szCs w:val="22"/>
          <w:lang w:val="en"/>
        </w:rPr>
        <w:t>support of a discussion guide</w:t>
      </w:r>
      <w:r w:rsidR="00712D70">
        <w:rPr>
          <w:rFonts w:ascii="Garamond" w:hAnsi="Garamond"/>
          <w:sz w:val="22"/>
          <w:szCs w:val="22"/>
          <w:lang w:val="en"/>
        </w:rPr>
        <w:t xml:space="preserve">. The example discussion guide </w:t>
      </w:r>
      <w:r w:rsidR="001E1322">
        <w:rPr>
          <w:rFonts w:ascii="Garamond" w:hAnsi="Garamond"/>
          <w:sz w:val="22"/>
          <w:szCs w:val="22"/>
          <w:lang w:val="en"/>
        </w:rPr>
        <w:t>(Tool 9)</w:t>
      </w:r>
      <w:r w:rsidR="00712D70">
        <w:rPr>
          <w:rFonts w:ascii="Garamond" w:hAnsi="Garamond"/>
          <w:sz w:val="22"/>
          <w:szCs w:val="22"/>
          <w:lang w:val="en"/>
        </w:rPr>
        <w:t xml:space="preserve"> </w:t>
      </w:r>
      <w:r w:rsidR="00572670">
        <w:rPr>
          <w:rFonts w:ascii="Garamond" w:hAnsi="Garamond"/>
          <w:sz w:val="22"/>
          <w:szCs w:val="22"/>
          <w:lang w:val="en"/>
        </w:rPr>
        <w:t>was</w:t>
      </w:r>
      <w:r w:rsidR="00712D70">
        <w:rPr>
          <w:rFonts w:ascii="Garamond" w:hAnsi="Garamond"/>
          <w:sz w:val="22"/>
          <w:szCs w:val="22"/>
          <w:lang w:val="en"/>
        </w:rPr>
        <w:t xml:space="preserve"> </w:t>
      </w:r>
      <w:r w:rsidR="0025341C" w:rsidRPr="00F40C2A">
        <w:rPr>
          <w:rFonts w:ascii="Garamond" w:hAnsi="Garamond"/>
          <w:sz w:val="22"/>
          <w:szCs w:val="22"/>
          <w:lang w:val="en"/>
        </w:rPr>
        <w:t>developed</w:t>
      </w:r>
      <w:r w:rsidR="003E1273" w:rsidRPr="00F40C2A">
        <w:rPr>
          <w:rFonts w:ascii="Garamond" w:hAnsi="Garamond"/>
          <w:sz w:val="22"/>
          <w:szCs w:val="22"/>
          <w:lang w:val="en"/>
        </w:rPr>
        <w:t xml:space="preserve"> </w:t>
      </w:r>
      <w:r w:rsidR="00155254" w:rsidRPr="00F40C2A">
        <w:rPr>
          <w:rFonts w:ascii="Garamond" w:hAnsi="Garamond"/>
          <w:sz w:val="22"/>
          <w:szCs w:val="22"/>
          <w:lang w:val="en"/>
        </w:rPr>
        <w:t xml:space="preserve">with </w:t>
      </w:r>
      <w:bookmarkStart w:id="31" w:name="_Hlk525890875"/>
      <w:r w:rsidR="00787BA5" w:rsidRPr="00F40C2A">
        <w:rPr>
          <w:rFonts w:ascii="Garamond" w:hAnsi="Garamond"/>
          <w:sz w:val="22"/>
          <w:szCs w:val="22"/>
          <w:lang w:val="en"/>
        </w:rPr>
        <w:t>MOH</w:t>
      </w:r>
      <w:bookmarkEnd w:id="31"/>
      <w:r w:rsidR="00787BA5" w:rsidRPr="00F40C2A">
        <w:rPr>
          <w:rFonts w:ascii="Garamond" w:hAnsi="Garamond"/>
          <w:sz w:val="22"/>
          <w:szCs w:val="22"/>
          <w:lang w:val="en"/>
        </w:rPr>
        <w:t xml:space="preserve"> </w:t>
      </w:r>
      <w:r w:rsidR="00155254" w:rsidRPr="00F40C2A">
        <w:rPr>
          <w:rFonts w:ascii="Garamond" w:hAnsi="Garamond"/>
          <w:sz w:val="22"/>
          <w:szCs w:val="22"/>
          <w:lang w:val="en"/>
        </w:rPr>
        <w:t xml:space="preserve">and </w:t>
      </w:r>
      <w:r w:rsidR="002E6DBD" w:rsidRPr="00F40C2A">
        <w:rPr>
          <w:rFonts w:ascii="Garamond" w:hAnsi="Garamond"/>
          <w:sz w:val="22"/>
          <w:szCs w:val="22"/>
          <w:lang w:val="en"/>
        </w:rPr>
        <w:t>IT</w:t>
      </w:r>
      <w:r w:rsidR="00155254" w:rsidRPr="00F40C2A">
        <w:rPr>
          <w:rFonts w:ascii="Garamond" w:hAnsi="Garamond"/>
          <w:sz w:val="22"/>
          <w:szCs w:val="22"/>
          <w:lang w:val="en"/>
        </w:rPr>
        <w:t>N stakeholders</w:t>
      </w:r>
      <w:r w:rsidRPr="00F40C2A">
        <w:rPr>
          <w:rFonts w:ascii="Garamond" w:hAnsi="Garamond"/>
          <w:sz w:val="22"/>
          <w:szCs w:val="22"/>
          <w:lang w:val="en"/>
        </w:rPr>
        <w:t xml:space="preserve">. </w:t>
      </w:r>
    </w:p>
    <w:p w14:paraId="701CBE15" w14:textId="5578C93C" w:rsidR="00C75B04" w:rsidRPr="00F40C2A" w:rsidRDefault="00E033C6" w:rsidP="00D5218A">
      <w:pPr>
        <w:spacing w:before="120" w:after="120"/>
        <w:jc w:val="both"/>
        <w:rPr>
          <w:rFonts w:ascii="Garamond" w:hAnsi="Garamond"/>
          <w:sz w:val="22"/>
          <w:szCs w:val="22"/>
          <w:lang w:val="en"/>
        </w:rPr>
      </w:pPr>
      <w:r w:rsidRPr="00F40C2A">
        <w:rPr>
          <w:rFonts w:ascii="Garamond" w:hAnsi="Garamond"/>
          <w:sz w:val="22"/>
          <w:szCs w:val="22"/>
          <w:lang w:val="en"/>
        </w:rPr>
        <w:t>Distribution c</w:t>
      </w:r>
      <w:r w:rsidR="00C75B04" w:rsidRPr="00F40C2A">
        <w:rPr>
          <w:rFonts w:ascii="Garamond" w:hAnsi="Garamond"/>
          <w:sz w:val="22"/>
          <w:szCs w:val="22"/>
          <w:lang w:val="en"/>
        </w:rPr>
        <w:t>hannels of</w:t>
      </w:r>
      <w:r w:rsidR="00787BA5" w:rsidRPr="00F40C2A">
        <w:rPr>
          <w:rFonts w:ascii="Garamond" w:hAnsi="Garamond"/>
          <w:sz w:val="22"/>
          <w:szCs w:val="22"/>
          <w:lang w:val="en"/>
        </w:rPr>
        <w:t xml:space="preserve"> focus include ANC</w:t>
      </w:r>
      <w:r w:rsidR="00C75B04" w:rsidRPr="00F40C2A">
        <w:rPr>
          <w:rFonts w:ascii="Garamond" w:hAnsi="Garamond"/>
          <w:sz w:val="22"/>
          <w:szCs w:val="22"/>
          <w:lang w:val="en"/>
        </w:rPr>
        <w:t xml:space="preserve"> and vaccination (through child health consultation) systems as well as an exploration of </w:t>
      </w:r>
      <w:r w:rsidR="00A3725F" w:rsidRPr="00F40C2A">
        <w:rPr>
          <w:rFonts w:ascii="Garamond" w:hAnsi="Garamond"/>
          <w:sz w:val="22"/>
          <w:szCs w:val="22"/>
          <w:lang w:val="en"/>
        </w:rPr>
        <w:t xml:space="preserve">other </w:t>
      </w:r>
      <w:r w:rsidR="00C75B04" w:rsidRPr="00F40C2A">
        <w:rPr>
          <w:rFonts w:ascii="Garamond" w:hAnsi="Garamond"/>
          <w:sz w:val="22"/>
          <w:szCs w:val="22"/>
          <w:lang w:val="en"/>
        </w:rPr>
        <w:t>potential continuous distribution channels</w:t>
      </w:r>
      <w:r w:rsidR="00560CA1" w:rsidRPr="00F40C2A">
        <w:rPr>
          <w:rFonts w:ascii="Garamond" w:hAnsi="Garamond"/>
          <w:sz w:val="22"/>
          <w:szCs w:val="22"/>
          <w:lang w:val="en"/>
        </w:rPr>
        <w:t>,</w:t>
      </w:r>
      <w:r w:rsidR="00C75B04" w:rsidRPr="00F40C2A">
        <w:rPr>
          <w:rFonts w:ascii="Garamond" w:hAnsi="Garamond"/>
          <w:sz w:val="22"/>
          <w:szCs w:val="22"/>
          <w:lang w:val="en"/>
        </w:rPr>
        <w:t xml:space="preserve"> including school- and community-based distribution, </w:t>
      </w:r>
      <w:r w:rsidR="00193B5B" w:rsidRPr="00F40C2A">
        <w:rPr>
          <w:rFonts w:ascii="Garamond" w:hAnsi="Garamond"/>
          <w:sz w:val="22"/>
          <w:szCs w:val="22"/>
          <w:lang w:val="en"/>
        </w:rPr>
        <w:t xml:space="preserve">rural advanced strategies in which health center staff travel to provide ANC, vaccination, and other health services to remote locations where populations are farther away from facility-based services, and mobile strategies provided by district health teams. </w:t>
      </w:r>
    </w:p>
    <w:p w14:paraId="07EEE179" w14:textId="00646E99" w:rsidR="00426627" w:rsidRDefault="00EA2FAA" w:rsidP="00426627">
      <w:pPr>
        <w:pStyle w:val="Heading3"/>
        <w:rPr>
          <w:szCs w:val="28"/>
          <w:lang w:val="en"/>
        </w:rPr>
      </w:pPr>
      <w:bookmarkStart w:id="32" w:name="_Toc43130667"/>
      <w:r w:rsidRPr="006C31AF">
        <w:rPr>
          <w:szCs w:val="28"/>
          <w:lang w:val="en"/>
        </w:rPr>
        <w:t>Assessment Tools</w:t>
      </w:r>
      <w:bookmarkEnd w:id="32"/>
    </w:p>
    <w:p w14:paraId="27F3A0F3" w14:textId="0614174C" w:rsidR="00E14EDC" w:rsidRPr="00E14EDC" w:rsidRDefault="00E14EDC" w:rsidP="00E14EDC">
      <w:pPr>
        <w:rPr>
          <w:rFonts w:ascii="Garamond" w:hAnsi="Garamond"/>
          <w:sz w:val="22"/>
          <w:szCs w:val="22"/>
          <w:lang w:val="en"/>
        </w:rPr>
      </w:pPr>
      <w:r w:rsidRPr="001C2E06">
        <w:rPr>
          <w:rFonts w:ascii="Garamond" w:hAnsi="Garamond"/>
          <w:sz w:val="22"/>
          <w:szCs w:val="22"/>
          <w:lang w:val="en"/>
        </w:rPr>
        <w:t>There are 1</w:t>
      </w:r>
      <w:r w:rsidR="00865F68">
        <w:rPr>
          <w:rFonts w:ascii="Garamond" w:hAnsi="Garamond"/>
          <w:sz w:val="22"/>
          <w:szCs w:val="22"/>
          <w:lang w:val="en"/>
        </w:rPr>
        <w:t>4</w:t>
      </w:r>
      <w:r w:rsidRPr="001C2E06">
        <w:rPr>
          <w:rFonts w:ascii="Garamond" w:hAnsi="Garamond"/>
          <w:sz w:val="22"/>
          <w:szCs w:val="22"/>
          <w:lang w:val="en"/>
        </w:rPr>
        <w:t xml:space="preserve"> tools to use throughout this process, as outlined in the table below.</w:t>
      </w:r>
    </w:p>
    <w:tbl>
      <w:tblPr>
        <w:tblStyle w:val="TableGrid"/>
        <w:tblpPr w:leftFromText="180" w:rightFromText="180" w:vertAnchor="text" w:horzAnchor="margin" w:tblpY="430"/>
        <w:tblW w:w="9535" w:type="dxa"/>
        <w:tblLook w:val="04A0" w:firstRow="1" w:lastRow="0" w:firstColumn="1" w:lastColumn="0" w:noHBand="0" w:noVBand="1"/>
      </w:tblPr>
      <w:tblGrid>
        <w:gridCol w:w="775"/>
        <w:gridCol w:w="8760"/>
      </w:tblGrid>
      <w:tr w:rsidR="00E14EDC" w:rsidRPr="00C00FAC" w14:paraId="2489C013" w14:textId="77777777" w:rsidTr="00E14EDC">
        <w:tc>
          <w:tcPr>
            <w:tcW w:w="0" w:type="auto"/>
            <w:shd w:val="clear" w:color="auto" w:fill="DBE5F1" w:themeFill="accent1" w:themeFillTint="33"/>
          </w:tcPr>
          <w:p w14:paraId="104D8F9F" w14:textId="77777777" w:rsidR="00E14EDC" w:rsidRPr="00C00FAC" w:rsidRDefault="00E14EDC" w:rsidP="00E14EDC">
            <w:pPr>
              <w:pStyle w:val="Heading5"/>
              <w:shd w:val="clear" w:color="auto" w:fill="auto"/>
              <w:spacing w:before="0" w:after="0"/>
              <w:ind w:left="0"/>
            </w:pPr>
            <w:r w:rsidRPr="00C00FAC">
              <w:t>Tool</w:t>
            </w:r>
          </w:p>
        </w:tc>
        <w:tc>
          <w:tcPr>
            <w:tcW w:w="8760" w:type="dxa"/>
            <w:shd w:val="clear" w:color="auto" w:fill="DBE5F1" w:themeFill="accent1" w:themeFillTint="33"/>
          </w:tcPr>
          <w:p w14:paraId="0A8B7EBD" w14:textId="77777777" w:rsidR="00E14EDC" w:rsidRPr="00C00FAC" w:rsidRDefault="00E14EDC" w:rsidP="00E14EDC">
            <w:pPr>
              <w:pStyle w:val="Heading5"/>
              <w:shd w:val="clear" w:color="auto" w:fill="auto"/>
              <w:spacing w:before="0" w:after="0"/>
              <w:ind w:left="0"/>
            </w:pPr>
            <w:r w:rsidRPr="00C00FAC">
              <w:t>Name</w:t>
            </w:r>
          </w:p>
        </w:tc>
      </w:tr>
      <w:tr w:rsidR="00E14EDC" w:rsidRPr="00402FA4" w14:paraId="06341FA4" w14:textId="77777777" w:rsidTr="00E14EDC">
        <w:tc>
          <w:tcPr>
            <w:tcW w:w="0" w:type="auto"/>
            <w:shd w:val="clear" w:color="auto" w:fill="auto"/>
            <w:vAlign w:val="center"/>
          </w:tcPr>
          <w:p w14:paraId="539A6135" w14:textId="77777777" w:rsidR="00E14EDC" w:rsidRDefault="00E14EDC" w:rsidP="00E14EDC">
            <w:pPr>
              <w:pStyle w:val="Heading5"/>
              <w:shd w:val="clear" w:color="auto" w:fill="auto"/>
              <w:spacing w:before="0" w:after="0"/>
              <w:ind w:left="0"/>
              <w:jc w:val="center"/>
              <w:rPr>
                <w:b w:val="0"/>
                <w:bCs/>
              </w:rPr>
            </w:pPr>
            <w:r>
              <w:rPr>
                <w:b w:val="0"/>
                <w:bCs/>
              </w:rPr>
              <w:t>1</w:t>
            </w:r>
          </w:p>
        </w:tc>
        <w:tc>
          <w:tcPr>
            <w:tcW w:w="8760" w:type="dxa"/>
            <w:shd w:val="clear" w:color="auto" w:fill="auto"/>
          </w:tcPr>
          <w:p w14:paraId="649012F5" w14:textId="77777777" w:rsidR="00E14EDC" w:rsidRPr="00402FA4" w:rsidRDefault="00E14EDC" w:rsidP="00E14EDC">
            <w:pPr>
              <w:pStyle w:val="Heading5"/>
              <w:shd w:val="clear" w:color="auto" w:fill="auto"/>
              <w:spacing w:before="0" w:after="0"/>
              <w:ind w:left="0"/>
              <w:rPr>
                <w:b w:val="0"/>
                <w:bCs/>
              </w:rPr>
            </w:pPr>
            <w:r w:rsidRPr="007C2BC2">
              <w:rPr>
                <w:b w:val="0"/>
                <w:bCs/>
                <w:lang w:val="en"/>
              </w:rPr>
              <w:t>Example Assessment Terms of Reference (TOR)</w:t>
            </w:r>
          </w:p>
        </w:tc>
      </w:tr>
      <w:tr w:rsidR="00E14EDC" w:rsidRPr="00402FA4" w14:paraId="3D468ECC" w14:textId="77777777" w:rsidTr="00E14EDC">
        <w:tc>
          <w:tcPr>
            <w:tcW w:w="0" w:type="auto"/>
            <w:shd w:val="clear" w:color="auto" w:fill="auto"/>
            <w:vAlign w:val="center"/>
          </w:tcPr>
          <w:p w14:paraId="18AE99DE" w14:textId="77777777" w:rsidR="00E14EDC" w:rsidRDefault="00E14EDC" w:rsidP="00E14EDC">
            <w:pPr>
              <w:pStyle w:val="Heading5"/>
              <w:shd w:val="clear" w:color="auto" w:fill="auto"/>
              <w:spacing w:before="0" w:after="0"/>
              <w:ind w:left="0"/>
              <w:jc w:val="center"/>
              <w:rPr>
                <w:b w:val="0"/>
                <w:bCs/>
              </w:rPr>
            </w:pPr>
            <w:r>
              <w:rPr>
                <w:b w:val="0"/>
                <w:bCs/>
              </w:rPr>
              <w:t>2</w:t>
            </w:r>
          </w:p>
        </w:tc>
        <w:tc>
          <w:tcPr>
            <w:tcW w:w="8760" w:type="dxa"/>
            <w:shd w:val="clear" w:color="auto" w:fill="auto"/>
          </w:tcPr>
          <w:p w14:paraId="7D519177" w14:textId="77777777" w:rsidR="00E14EDC" w:rsidRPr="007C2BC2" w:rsidRDefault="00E14EDC" w:rsidP="00E14EDC">
            <w:pPr>
              <w:pStyle w:val="Heading5"/>
              <w:shd w:val="clear" w:color="auto" w:fill="auto"/>
              <w:spacing w:before="0" w:after="0"/>
              <w:ind w:left="0"/>
              <w:rPr>
                <w:b w:val="0"/>
                <w:bCs/>
                <w:lang w:val="en"/>
              </w:rPr>
            </w:pPr>
            <w:r w:rsidRPr="00C41775">
              <w:rPr>
                <w:b w:val="0"/>
                <w:bCs/>
              </w:rPr>
              <w:t>Assessment Planning Timeline</w:t>
            </w:r>
            <w:r>
              <w:rPr>
                <w:b w:val="0"/>
                <w:bCs/>
              </w:rPr>
              <w:t xml:space="preserve"> and Checklist</w:t>
            </w:r>
          </w:p>
        </w:tc>
      </w:tr>
      <w:tr w:rsidR="00E14EDC" w:rsidRPr="00402FA4" w14:paraId="74213139" w14:textId="77777777" w:rsidTr="00E14EDC">
        <w:tc>
          <w:tcPr>
            <w:tcW w:w="0" w:type="auto"/>
            <w:shd w:val="clear" w:color="auto" w:fill="auto"/>
            <w:vAlign w:val="center"/>
          </w:tcPr>
          <w:p w14:paraId="56E0F8A8" w14:textId="77777777" w:rsidR="00E14EDC" w:rsidRDefault="00E14EDC" w:rsidP="00E14EDC">
            <w:pPr>
              <w:pStyle w:val="Heading5"/>
              <w:shd w:val="clear" w:color="auto" w:fill="auto"/>
              <w:spacing w:before="0" w:after="0"/>
              <w:ind w:left="0"/>
              <w:jc w:val="center"/>
              <w:rPr>
                <w:b w:val="0"/>
                <w:bCs/>
              </w:rPr>
            </w:pPr>
            <w:r>
              <w:rPr>
                <w:b w:val="0"/>
                <w:bCs/>
              </w:rPr>
              <w:t>3</w:t>
            </w:r>
          </w:p>
        </w:tc>
        <w:tc>
          <w:tcPr>
            <w:tcW w:w="8760" w:type="dxa"/>
            <w:shd w:val="clear" w:color="auto" w:fill="auto"/>
          </w:tcPr>
          <w:p w14:paraId="0FB028FD" w14:textId="21006896" w:rsidR="00E14EDC" w:rsidRPr="007C2BC2" w:rsidRDefault="00E14EDC" w:rsidP="00E14EDC">
            <w:pPr>
              <w:pStyle w:val="Heading5"/>
              <w:shd w:val="clear" w:color="auto" w:fill="auto"/>
              <w:spacing w:before="0" w:after="0"/>
              <w:ind w:left="0"/>
              <w:rPr>
                <w:b w:val="0"/>
                <w:bCs/>
                <w:lang w:val="en"/>
              </w:rPr>
            </w:pPr>
            <w:r w:rsidRPr="00316D0A">
              <w:rPr>
                <w:b w:val="0"/>
                <w:bCs/>
              </w:rPr>
              <w:t>PowerPoint summary of the Assessment TOR (Objectives, Methods, and Planning steps) (English and French)</w:t>
            </w:r>
          </w:p>
        </w:tc>
      </w:tr>
      <w:tr w:rsidR="00E14EDC" w:rsidRPr="00402FA4" w14:paraId="7DBACE91" w14:textId="77777777" w:rsidTr="00E14EDC">
        <w:tc>
          <w:tcPr>
            <w:tcW w:w="0" w:type="auto"/>
            <w:shd w:val="clear" w:color="auto" w:fill="auto"/>
            <w:vAlign w:val="center"/>
          </w:tcPr>
          <w:p w14:paraId="386A4434" w14:textId="77777777" w:rsidR="00E14EDC" w:rsidRDefault="00E14EDC" w:rsidP="00E14EDC">
            <w:pPr>
              <w:pStyle w:val="Heading5"/>
              <w:shd w:val="clear" w:color="auto" w:fill="auto"/>
              <w:spacing w:before="0" w:after="0"/>
              <w:ind w:left="0"/>
              <w:jc w:val="center"/>
              <w:rPr>
                <w:b w:val="0"/>
                <w:bCs/>
              </w:rPr>
            </w:pPr>
            <w:r>
              <w:rPr>
                <w:b w:val="0"/>
                <w:bCs/>
              </w:rPr>
              <w:t>4</w:t>
            </w:r>
          </w:p>
        </w:tc>
        <w:tc>
          <w:tcPr>
            <w:tcW w:w="8760" w:type="dxa"/>
            <w:shd w:val="clear" w:color="auto" w:fill="auto"/>
          </w:tcPr>
          <w:p w14:paraId="5FC75954" w14:textId="354F72E6" w:rsidR="00E14EDC" w:rsidRPr="007C2BC2" w:rsidRDefault="00E14EDC" w:rsidP="00E14EDC">
            <w:pPr>
              <w:pStyle w:val="Heading5"/>
              <w:shd w:val="clear" w:color="auto" w:fill="auto"/>
              <w:spacing w:before="0" w:after="0"/>
              <w:ind w:left="0"/>
              <w:rPr>
                <w:b w:val="0"/>
                <w:bCs/>
                <w:lang w:val="en"/>
              </w:rPr>
            </w:pPr>
            <w:r w:rsidRPr="00316D0A">
              <w:rPr>
                <w:b w:val="0"/>
                <w:bCs/>
              </w:rPr>
              <w:t>Sample Key Informant Interview Planning Table</w:t>
            </w:r>
          </w:p>
        </w:tc>
      </w:tr>
      <w:tr w:rsidR="00E14EDC" w:rsidRPr="00402FA4" w14:paraId="38B09731" w14:textId="77777777" w:rsidTr="00E14EDC">
        <w:tc>
          <w:tcPr>
            <w:tcW w:w="0" w:type="auto"/>
            <w:shd w:val="clear" w:color="auto" w:fill="auto"/>
            <w:vAlign w:val="center"/>
          </w:tcPr>
          <w:p w14:paraId="029395D4" w14:textId="77777777" w:rsidR="00E14EDC" w:rsidRDefault="00E14EDC" w:rsidP="00E14EDC">
            <w:pPr>
              <w:pStyle w:val="Heading5"/>
              <w:shd w:val="clear" w:color="auto" w:fill="auto"/>
              <w:spacing w:before="0" w:after="0"/>
              <w:ind w:left="0"/>
              <w:jc w:val="center"/>
              <w:rPr>
                <w:b w:val="0"/>
                <w:bCs/>
              </w:rPr>
            </w:pPr>
            <w:r>
              <w:rPr>
                <w:b w:val="0"/>
                <w:bCs/>
              </w:rPr>
              <w:t>5</w:t>
            </w:r>
          </w:p>
        </w:tc>
        <w:tc>
          <w:tcPr>
            <w:tcW w:w="8760" w:type="dxa"/>
            <w:shd w:val="clear" w:color="auto" w:fill="auto"/>
          </w:tcPr>
          <w:p w14:paraId="72E790F2" w14:textId="757F1636" w:rsidR="00E14EDC" w:rsidRPr="007C2BC2" w:rsidRDefault="00E14EDC" w:rsidP="00E14EDC">
            <w:pPr>
              <w:pStyle w:val="Heading5"/>
              <w:shd w:val="clear" w:color="auto" w:fill="auto"/>
              <w:spacing w:before="0" w:after="0"/>
              <w:ind w:left="0"/>
              <w:rPr>
                <w:b w:val="0"/>
                <w:bCs/>
                <w:lang w:val="en"/>
              </w:rPr>
            </w:pPr>
            <w:r w:rsidRPr="00316D0A">
              <w:rPr>
                <w:b w:val="0"/>
                <w:bCs/>
              </w:rPr>
              <w:t>Sample MOH/NMP letter Inviting Key Stakeholders to Participate</w:t>
            </w:r>
          </w:p>
        </w:tc>
      </w:tr>
      <w:tr w:rsidR="00E14EDC" w:rsidRPr="00402FA4" w14:paraId="1601CED4" w14:textId="77777777" w:rsidTr="00E14EDC">
        <w:tc>
          <w:tcPr>
            <w:tcW w:w="0" w:type="auto"/>
            <w:shd w:val="clear" w:color="auto" w:fill="auto"/>
            <w:vAlign w:val="center"/>
          </w:tcPr>
          <w:p w14:paraId="69A50658" w14:textId="77777777" w:rsidR="00E14EDC" w:rsidRDefault="00E14EDC" w:rsidP="00E14EDC">
            <w:pPr>
              <w:pStyle w:val="Heading5"/>
              <w:shd w:val="clear" w:color="auto" w:fill="auto"/>
              <w:spacing w:before="0" w:after="0"/>
              <w:ind w:left="0"/>
              <w:jc w:val="center"/>
              <w:rPr>
                <w:b w:val="0"/>
                <w:bCs/>
              </w:rPr>
            </w:pPr>
            <w:r>
              <w:rPr>
                <w:b w:val="0"/>
                <w:bCs/>
              </w:rPr>
              <w:t>6</w:t>
            </w:r>
          </w:p>
        </w:tc>
        <w:tc>
          <w:tcPr>
            <w:tcW w:w="8760" w:type="dxa"/>
            <w:shd w:val="clear" w:color="auto" w:fill="auto"/>
          </w:tcPr>
          <w:p w14:paraId="7AF14C1C" w14:textId="65C9C4D8" w:rsidR="00E14EDC" w:rsidRPr="007C2BC2" w:rsidRDefault="00E14EDC" w:rsidP="00E14EDC">
            <w:pPr>
              <w:pStyle w:val="Heading5"/>
              <w:shd w:val="clear" w:color="auto" w:fill="auto"/>
              <w:spacing w:before="0" w:after="0"/>
              <w:ind w:left="0"/>
              <w:rPr>
                <w:b w:val="0"/>
                <w:bCs/>
                <w:lang w:val="en"/>
              </w:rPr>
            </w:pPr>
            <w:r w:rsidRPr="00316D0A">
              <w:rPr>
                <w:b w:val="0"/>
                <w:bCs/>
              </w:rPr>
              <w:t>Assessment team roles and responsibilities (from TOR)</w:t>
            </w:r>
          </w:p>
        </w:tc>
      </w:tr>
      <w:tr w:rsidR="00E14EDC" w:rsidRPr="00402FA4" w14:paraId="48A18E95" w14:textId="77777777" w:rsidTr="00E14EDC">
        <w:tc>
          <w:tcPr>
            <w:tcW w:w="0" w:type="auto"/>
            <w:shd w:val="clear" w:color="auto" w:fill="auto"/>
            <w:vAlign w:val="center"/>
          </w:tcPr>
          <w:p w14:paraId="5E6849D8" w14:textId="77777777" w:rsidR="00E14EDC" w:rsidRDefault="00E14EDC" w:rsidP="00E14EDC">
            <w:pPr>
              <w:pStyle w:val="Heading5"/>
              <w:shd w:val="clear" w:color="auto" w:fill="auto"/>
              <w:spacing w:before="0" w:after="0"/>
              <w:ind w:left="0"/>
              <w:jc w:val="center"/>
              <w:rPr>
                <w:b w:val="0"/>
                <w:bCs/>
              </w:rPr>
            </w:pPr>
            <w:r>
              <w:rPr>
                <w:b w:val="0"/>
                <w:bCs/>
              </w:rPr>
              <w:t>7</w:t>
            </w:r>
          </w:p>
        </w:tc>
        <w:tc>
          <w:tcPr>
            <w:tcW w:w="8760" w:type="dxa"/>
            <w:shd w:val="clear" w:color="auto" w:fill="auto"/>
          </w:tcPr>
          <w:p w14:paraId="61E5D176" w14:textId="0F3AB1FA" w:rsidR="00E14EDC" w:rsidRPr="007C2BC2" w:rsidRDefault="00E14EDC" w:rsidP="00E14EDC">
            <w:pPr>
              <w:pStyle w:val="Heading5"/>
              <w:shd w:val="clear" w:color="auto" w:fill="auto"/>
              <w:spacing w:before="0" w:after="0"/>
              <w:ind w:left="0"/>
              <w:rPr>
                <w:b w:val="0"/>
                <w:bCs/>
                <w:lang w:val="en"/>
              </w:rPr>
            </w:pPr>
            <w:r w:rsidRPr="00316D0A">
              <w:rPr>
                <w:b w:val="0"/>
                <w:bCs/>
              </w:rPr>
              <w:t>Sample Assessment team Level of Effort table (from TOR)</w:t>
            </w:r>
          </w:p>
        </w:tc>
      </w:tr>
      <w:tr w:rsidR="00E14EDC" w:rsidRPr="00402FA4" w14:paraId="2C70F388" w14:textId="77777777" w:rsidTr="00E14EDC">
        <w:tc>
          <w:tcPr>
            <w:tcW w:w="0" w:type="auto"/>
            <w:shd w:val="clear" w:color="auto" w:fill="auto"/>
            <w:vAlign w:val="center"/>
          </w:tcPr>
          <w:p w14:paraId="78E7C77D" w14:textId="77777777" w:rsidR="00E14EDC" w:rsidRDefault="00E14EDC" w:rsidP="00E14EDC">
            <w:pPr>
              <w:pStyle w:val="Heading5"/>
              <w:shd w:val="clear" w:color="auto" w:fill="auto"/>
              <w:spacing w:before="0" w:after="0"/>
              <w:ind w:left="0"/>
              <w:jc w:val="center"/>
              <w:rPr>
                <w:b w:val="0"/>
                <w:bCs/>
              </w:rPr>
            </w:pPr>
            <w:r>
              <w:rPr>
                <w:b w:val="0"/>
                <w:bCs/>
              </w:rPr>
              <w:t>8</w:t>
            </w:r>
          </w:p>
        </w:tc>
        <w:tc>
          <w:tcPr>
            <w:tcW w:w="8760" w:type="dxa"/>
            <w:shd w:val="clear" w:color="auto" w:fill="auto"/>
          </w:tcPr>
          <w:p w14:paraId="6EDCECAF" w14:textId="15C95A13" w:rsidR="00E14EDC" w:rsidRPr="007C2BC2" w:rsidRDefault="00E14EDC" w:rsidP="00E14EDC">
            <w:pPr>
              <w:pStyle w:val="Heading5"/>
              <w:shd w:val="clear" w:color="auto" w:fill="auto"/>
              <w:spacing w:before="0" w:after="0"/>
              <w:ind w:left="0"/>
              <w:rPr>
                <w:b w:val="0"/>
                <w:bCs/>
                <w:lang w:val="en"/>
              </w:rPr>
            </w:pPr>
            <w:r w:rsidRPr="007C2BC2">
              <w:rPr>
                <w:b w:val="0"/>
                <w:bCs/>
              </w:rPr>
              <w:t>Agenda, Introductory stakeholder meeting</w:t>
            </w:r>
          </w:p>
        </w:tc>
      </w:tr>
      <w:tr w:rsidR="00E14EDC" w:rsidRPr="00402FA4" w14:paraId="66BF844B" w14:textId="77777777" w:rsidTr="00E14EDC">
        <w:tc>
          <w:tcPr>
            <w:tcW w:w="0" w:type="auto"/>
            <w:shd w:val="clear" w:color="auto" w:fill="auto"/>
            <w:vAlign w:val="center"/>
          </w:tcPr>
          <w:p w14:paraId="043B68EC" w14:textId="77777777" w:rsidR="00E14EDC" w:rsidRDefault="00E14EDC" w:rsidP="00E14EDC">
            <w:pPr>
              <w:pStyle w:val="Heading5"/>
              <w:shd w:val="clear" w:color="auto" w:fill="auto"/>
              <w:spacing w:before="0" w:after="0"/>
              <w:ind w:left="0"/>
              <w:jc w:val="center"/>
              <w:rPr>
                <w:b w:val="0"/>
                <w:bCs/>
              </w:rPr>
            </w:pPr>
            <w:r>
              <w:rPr>
                <w:b w:val="0"/>
                <w:bCs/>
              </w:rPr>
              <w:t>9</w:t>
            </w:r>
          </w:p>
        </w:tc>
        <w:tc>
          <w:tcPr>
            <w:tcW w:w="8760" w:type="dxa"/>
            <w:shd w:val="clear" w:color="auto" w:fill="auto"/>
          </w:tcPr>
          <w:p w14:paraId="7634E845" w14:textId="1E572661" w:rsidR="00E14EDC" w:rsidRPr="007C2BC2" w:rsidRDefault="00E14EDC" w:rsidP="00E14EDC">
            <w:pPr>
              <w:pStyle w:val="Heading5"/>
              <w:shd w:val="clear" w:color="auto" w:fill="auto"/>
              <w:spacing w:before="0" w:after="0"/>
              <w:ind w:left="0"/>
              <w:rPr>
                <w:b w:val="0"/>
                <w:bCs/>
                <w:lang w:val="en"/>
              </w:rPr>
            </w:pPr>
            <w:r w:rsidRPr="007C2BC2">
              <w:rPr>
                <w:b w:val="0"/>
                <w:bCs/>
              </w:rPr>
              <w:t>Assessment Discussion Guide, Excel</w:t>
            </w:r>
          </w:p>
        </w:tc>
      </w:tr>
      <w:tr w:rsidR="00E14EDC" w:rsidRPr="00402FA4" w14:paraId="592DE0D7" w14:textId="77777777" w:rsidTr="00E14EDC">
        <w:tc>
          <w:tcPr>
            <w:tcW w:w="0" w:type="auto"/>
            <w:shd w:val="clear" w:color="auto" w:fill="auto"/>
            <w:vAlign w:val="center"/>
          </w:tcPr>
          <w:p w14:paraId="5C431A5E" w14:textId="77777777" w:rsidR="00E14EDC" w:rsidRDefault="00E14EDC" w:rsidP="00E14EDC">
            <w:pPr>
              <w:pStyle w:val="Heading5"/>
              <w:shd w:val="clear" w:color="auto" w:fill="auto"/>
              <w:spacing w:before="0" w:after="0"/>
              <w:ind w:left="0"/>
              <w:jc w:val="center"/>
              <w:rPr>
                <w:b w:val="0"/>
                <w:bCs/>
              </w:rPr>
            </w:pPr>
            <w:r>
              <w:rPr>
                <w:b w:val="0"/>
                <w:bCs/>
              </w:rPr>
              <w:t>10</w:t>
            </w:r>
          </w:p>
        </w:tc>
        <w:tc>
          <w:tcPr>
            <w:tcW w:w="8760" w:type="dxa"/>
            <w:shd w:val="clear" w:color="auto" w:fill="auto"/>
          </w:tcPr>
          <w:p w14:paraId="15578249" w14:textId="7564C83B" w:rsidR="00E14EDC" w:rsidRPr="007C2BC2" w:rsidRDefault="00E14EDC" w:rsidP="00E14EDC">
            <w:pPr>
              <w:pStyle w:val="Heading5"/>
              <w:shd w:val="clear" w:color="auto" w:fill="auto"/>
              <w:spacing w:before="0" w:after="0"/>
              <w:ind w:left="0"/>
              <w:rPr>
                <w:b w:val="0"/>
                <w:bCs/>
                <w:lang w:val="en"/>
              </w:rPr>
            </w:pPr>
            <w:r w:rsidRPr="007C2BC2">
              <w:rPr>
                <w:b w:val="0"/>
                <w:bCs/>
              </w:rPr>
              <w:t>Example of Observation and Results Synthesis tables by health level</w:t>
            </w:r>
          </w:p>
        </w:tc>
      </w:tr>
      <w:tr w:rsidR="00E14EDC" w:rsidRPr="00402FA4" w14:paraId="5402B149" w14:textId="77777777" w:rsidTr="00E14EDC">
        <w:tc>
          <w:tcPr>
            <w:tcW w:w="0" w:type="auto"/>
            <w:shd w:val="clear" w:color="auto" w:fill="auto"/>
            <w:vAlign w:val="center"/>
          </w:tcPr>
          <w:p w14:paraId="50178C65" w14:textId="77777777" w:rsidR="00E14EDC" w:rsidRDefault="00E14EDC" w:rsidP="00E14EDC">
            <w:pPr>
              <w:pStyle w:val="Heading5"/>
              <w:shd w:val="clear" w:color="auto" w:fill="auto"/>
              <w:spacing w:before="0" w:after="0"/>
              <w:ind w:left="0"/>
              <w:jc w:val="center"/>
              <w:rPr>
                <w:b w:val="0"/>
                <w:bCs/>
              </w:rPr>
            </w:pPr>
            <w:r>
              <w:rPr>
                <w:b w:val="0"/>
                <w:bCs/>
              </w:rPr>
              <w:t>11</w:t>
            </w:r>
          </w:p>
        </w:tc>
        <w:tc>
          <w:tcPr>
            <w:tcW w:w="8760" w:type="dxa"/>
            <w:shd w:val="clear" w:color="auto" w:fill="auto"/>
          </w:tcPr>
          <w:p w14:paraId="3271D4EF" w14:textId="20CAE0B0" w:rsidR="00E14EDC" w:rsidRPr="007C2BC2" w:rsidRDefault="00E14EDC" w:rsidP="00E14EDC">
            <w:pPr>
              <w:pStyle w:val="Heading5"/>
              <w:shd w:val="clear" w:color="auto" w:fill="auto"/>
              <w:spacing w:before="0" w:after="0"/>
              <w:ind w:left="0"/>
              <w:rPr>
                <w:b w:val="0"/>
                <w:bCs/>
                <w:lang w:val="en"/>
              </w:rPr>
            </w:pPr>
            <w:r w:rsidRPr="007C2BC2">
              <w:rPr>
                <w:b w:val="0"/>
                <w:bCs/>
              </w:rPr>
              <w:t xml:space="preserve">Example PowerPoint Presentation, </w:t>
            </w:r>
            <w:r w:rsidR="00E338B3">
              <w:rPr>
                <w:b w:val="0"/>
                <w:bCs/>
              </w:rPr>
              <w:t>Generic</w:t>
            </w:r>
          </w:p>
        </w:tc>
      </w:tr>
      <w:tr w:rsidR="00E14EDC" w:rsidRPr="00402FA4" w14:paraId="743C6C04" w14:textId="77777777" w:rsidTr="00E14EDC">
        <w:tc>
          <w:tcPr>
            <w:tcW w:w="0" w:type="auto"/>
            <w:shd w:val="clear" w:color="auto" w:fill="auto"/>
            <w:vAlign w:val="center"/>
          </w:tcPr>
          <w:p w14:paraId="06581CE8" w14:textId="77777777" w:rsidR="00E14EDC" w:rsidRDefault="00E14EDC" w:rsidP="00E14EDC">
            <w:pPr>
              <w:pStyle w:val="Heading5"/>
              <w:shd w:val="clear" w:color="auto" w:fill="auto"/>
              <w:spacing w:before="0" w:after="0"/>
              <w:ind w:left="0"/>
              <w:jc w:val="center"/>
              <w:rPr>
                <w:b w:val="0"/>
                <w:bCs/>
              </w:rPr>
            </w:pPr>
            <w:r>
              <w:rPr>
                <w:b w:val="0"/>
                <w:bCs/>
              </w:rPr>
              <w:t>12</w:t>
            </w:r>
          </w:p>
        </w:tc>
        <w:tc>
          <w:tcPr>
            <w:tcW w:w="8760" w:type="dxa"/>
            <w:shd w:val="clear" w:color="auto" w:fill="auto"/>
          </w:tcPr>
          <w:p w14:paraId="7D59AC85" w14:textId="3E555440" w:rsidR="00E14EDC" w:rsidRPr="007C2BC2" w:rsidRDefault="00E14EDC" w:rsidP="00E14EDC">
            <w:pPr>
              <w:pStyle w:val="Heading5"/>
              <w:shd w:val="clear" w:color="auto" w:fill="auto"/>
              <w:spacing w:before="0" w:after="0"/>
              <w:ind w:left="0"/>
              <w:rPr>
                <w:b w:val="0"/>
                <w:bCs/>
                <w:lang w:val="en"/>
              </w:rPr>
            </w:pPr>
            <w:r w:rsidRPr="007C2BC2">
              <w:rPr>
                <w:b w:val="0"/>
                <w:bCs/>
              </w:rPr>
              <w:t xml:space="preserve">PowerPoint presented during 2019 Vector </w:t>
            </w:r>
            <w:proofErr w:type="spellStart"/>
            <w:r w:rsidRPr="007C2BC2">
              <w:rPr>
                <w:b w:val="0"/>
                <w:bCs/>
              </w:rPr>
              <w:t>LearningXchange</w:t>
            </w:r>
            <w:proofErr w:type="spellEnd"/>
            <w:r w:rsidRPr="007C2BC2">
              <w:rPr>
                <w:b w:val="0"/>
                <w:bCs/>
              </w:rPr>
              <w:t xml:space="preserve"> Webinars</w:t>
            </w:r>
          </w:p>
        </w:tc>
      </w:tr>
      <w:tr w:rsidR="00E14EDC" w:rsidRPr="00402FA4" w14:paraId="0671C605" w14:textId="77777777" w:rsidTr="00E14EDC">
        <w:tc>
          <w:tcPr>
            <w:tcW w:w="0" w:type="auto"/>
            <w:shd w:val="clear" w:color="auto" w:fill="auto"/>
            <w:vAlign w:val="center"/>
          </w:tcPr>
          <w:p w14:paraId="4D08BF7A" w14:textId="77777777" w:rsidR="00E14EDC" w:rsidRDefault="00E14EDC" w:rsidP="00E14EDC">
            <w:pPr>
              <w:pStyle w:val="Heading5"/>
              <w:shd w:val="clear" w:color="auto" w:fill="auto"/>
              <w:spacing w:before="0" w:after="0"/>
              <w:ind w:left="0"/>
              <w:jc w:val="center"/>
              <w:rPr>
                <w:b w:val="0"/>
                <w:bCs/>
              </w:rPr>
            </w:pPr>
            <w:r>
              <w:rPr>
                <w:b w:val="0"/>
                <w:bCs/>
              </w:rPr>
              <w:t>13</w:t>
            </w:r>
          </w:p>
        </w:tc>
        <w:tc>
          <w:tcPr>
            <w:tcW w:w="8760" w:type="dxa"/>
            <w:shd w:val="clear" w:color="auto" w:fill="auto"/>
          </w:tcPr>
          <w:p w14:paraId="63A6860E" w14:textId="5B883F3B" w:rsidR="00E14EDC" w:rsidRPr="007C2BC2" w:rsidRDefault="00E14EDC" w:rsidP="00E14EDC">
            <w:pPr>
              <w:pStyle w:val="Heading5"/>
              <w:shd w:val="clear" w:color="auto" w:fill="auto"/>
              <w:spacing w:before="0" w:after="0"/>
              <w:ind w:left="0"/>
              <w:rPr>
                <w:b w:val="0"/>
                <w:bCs/>
                <w:lang w:val="en"/>
              </w:rPr>
            </w:pPr>
            <w:r w:rsidRPr="007C2BC2">
              <w:rPr>
                <w:b w:val="0"/>
                <w:bCs/>
              </w:rPr>
              <w:t xml:space="preserve">Example Assessment </w:t>
            </w:r>
            <w:proofErr w:type="spellStart"/>
            <w:r w:rsidRPr="007C2BC2">
              <w:rPr>
                <w:b w:val="0"/>
                <w:bCs/>
              </w:rPr>
              <w:t>Repor</w:t>
            </w:r>
            <w:r w:rsidR="00E338B3">
              <w:rPr>
                <w:b w:val="0"/>
                <w:bCs/>
              </w:rPr>
              <w:t>T</w:t>
            </w:r>
            <w:proofErr w:type="spellEnd"/>
            <w:r w:rsidR="00E338B3">
              <w:rPr>
                <w:b w:val="0"/>
                <w:bCs/>
              </w:rPr>
              <w:t>, Outline</w:t>
            </w:r>
          </w:p>
        </w:tc>
      </w:tr>
      <w:tr w:rsidR="00E14EDC" w:rsidRPr="00402FA4" w14:paraId="13ECDBD9" w14:textId="77777777" w:rsidTr="00E14EDC">
        <w:tc>
          <w:tcPr>
            <w:tcW w:w="0" w:type="auto"/>
            <w:shd w:val="clear" w:color="auto" w:fill="auto"/>
            <w:vAlign w:val="center"/>
          </w:tcPr>
          <w:p w14:paraId="37F87AD7" w14:textId="20B807B9" w:rsidR="00E14EDC" w:rsidRDefault="00E14EDC" w:rsidP="00E14EDC">
            <w:pPr>
              <w:pStyle w:val="Heading5"/>
              <w:shd w:val="clear" w:color="auto" w:fill="auto"/>
              <w:spacing w:before="0" w:after="0"/>
              <w:ind w:left="0"/>
              <w:jc w:val="center"/>
              <w:rPr>
                <w:b w:val="0"/>
                <w:bCs/>
              </w:rPr>
            </w:pPr>
            <w:r>
              <w:rPr>
                <w:b w:val="0"/>
                <w:bCs/>
              </w:rPr>
              <w:lastRenderedPageBreak/>
              <w:t>1</w:t>
            </w:r>
            <w:r w:rsidR="00E338B3">
              <w:rPr>
                <w:b w:val="0"/>
                <w:bCs/>
              </w:rPr>
              <w:t>4</w:t>
            </w:r>
          </w:p>
        </w:tc>
        <w:tc>
          <w:tcPr>
            <w:tcW w:w="8760" w:type="dxa"/>
            <w:shd w:val="clear" w:color="auto" w:fill="auto"/>
          </w:tcPr>
          <w:p w14:paraId="528D5B1A" w14:textId="1CFD1D9A" w:rsidR="00E14EDC" w:rsidRPr="007C2BC2" w:rsidRDefault="00E14EDC" w:rsidP="00E14EDC">
            <w:pPr>
              <w:pStyle w:val="Heading5"/>
              <w:shd w:val="clear" w:color="auto" w:fill="auto"/>
              <w:spacing w:before="0" w:after="0"/>
              <w:ind w:left="0"/>
              <w:rPr>
                <w:b w:val="0"/>
                <w:bCs/>
                <w:lang w:val="en"/>
              </w:rPr>
            </w:pPr>
            <w:r w:rsidRPr="007C2BC2">
              <w:rPr>
                <w:b w:val="0"/>
                <w:bCs/>
              </w:rPr>
              <w:t>Assessment Budget Template with Indicative Costings</w:t>
            </w:r>
          </w:p>
        </w:tc>
      </w:tr>
    </w:tbl>
    <w:p w14:paraId="7DD58813" w14:textId="0358CAB0" w:rsidR="00941FC9" w:rsidRPr="001C2E06" w:rsidRDefault="00E14EDC" w:rsidP="00941FC9">
      <w:pPr>
        <w:rPr>
          <w:rFonts w:ascii="Garamond" w:hAnsi="Garamond"/>
          <w:sz w:val="22"/>
          <w:szCs w:val="22"/>
          <w:lang w:val="en"/>
        </w:rPr>
      </w:pPr>
      <w:r w:rsidRPr="001C2E06">
        <w:rPr>
          <w:rFonts w:ascii="Garamond" w:hAnsi="Garamond"/>
          <w:sz w:val="22"/>
          <w:szCs w:val="22"/>
          <w:lang w:val="en"/>
        </w:rPr>
        <w:t xml:space="preserve"> </w:t>
      </w:r>
    </w:p>
    <w:p w14:paraId="252D3A2F" w14:textId="1FA4E101" w:rsidR="00424DA6" w:rsidRPr="00426627" w:rsidRDefault="00426627" w:rsidP="00426627">
      <w:pPr>
        <w:spacing w:before="120" w:after="120"/>
        <w:jc w:val="both"/>
        <w:rPr>
          <w:szCs w:val="22"/>
          <w:lang w:val="en"/>
        </w:rPr>
      </w:pPr>
      <w:bookmarkStart w:id="33" w:name="_Toc522122504"/>
      <w:bookmarkStart w:id="34" w:name="_Toc525834983"/>
      <w:bookmarkStart w:id="35" w:name="_Toc522122501"/>
      <w:r w:rsidRPr="00F40C2A">
        <w:rPr>
          <w:rFonts w:ascii="Garamond" w:hAnsi="Garamond"/>
          <w:sz w:val="22"/>
          <w:szCs w:val="22"/>
          <w:lang w:val="en"/>
        </w:rPr>
        <w:t xml:space="preserve">A </w:t>
      </w:r>
      <w:bookmarkStart w:id="36" w:name="_Hlk525890902"/>
      <w:r w:rsidRPr="00F40C2A">
        <w:rPr>
          <w:rFonts w:ascii="Garamond" w:hAnsi="Garamond"/>
          <w:b/>
          <w:bCs/>
          <w:sz w:val="22"/>
          <w:szCs w:val="22"/>
          <w:lang w:val="en"/>
        </w:rPr>
        <w:t>terms of reference (TOR)</w:t>
      </w:r>
      <w:bookmarkEnd w:id="36"/>
      <w:r>
        <w:rPr>
          <w:rFonts w:ascii="Garamond" w:hAnsi="Garamond"/>
          <w:sz w:val="22"/>
          <w:szCs w:val="22"/>
          <w:lang w:val="en"/>
        </w:rPr>
        <w:t xml:space="preserve"> guides</w:t>
      </w:r>
      <w:r w:rsidRPr="00F40C2A">
        <w:rPr>
          <w:rFonts w:ascii="Garamond" w:hAnsi="Garamond"/>
          <w:sz w:val="22"/>
          <w:szCs w:val="22"/>
          <w:lang w:val="en"/>
        </w:rPr>
        <w:t xml:space="preserve"> assessment planning and implementation.</w:t>
      </w:r>
      <w:r>
        <w:rPr>
          <w:rFonts w:ascii="Garamond" w:hAnsi="Garamond"/>
          <w:sz w:val="22"/>
          <w:szCs w:val="22"/>
          <w:lang w:val="en"/>
        </w:rPr>
        <w:t xml:space="preserve"> In the Assessment Tools, available at </w:t>
      </w:r>
      <w:r w:rsidRPr="0023079E">
        <w:rPr>
          <w:rFonts w:ascii="Garamond" w:hAnsi="Garamond"/>
          <w:sz w:val="22"/>
          <w:szCs w:val="22"/>
          <w:lang w:val="en"/>
        </w:rPr>
        <w:t>Continuousdistribution.org an example of an assessment TOR is included (Assessment Tools, Tool 1).</w:t>
      </w:r>
      <w:r>
        <w:rPr>
          <w:rFonts w:ascii="Garamond" w:hAnsi="Garamond"/>
          <w:sz w:val="22"/>
          <w:szCs w:val="22"/>
          <w:lang w:val="en"/>
        </w:rPr>
        <w:t xml:space="preserve"> </w:t>
      </w:r>
    </w:p>
    <w:tbl>
      <w:tblPr>
        <w:tblStyle w:val="TableGrid"/>
        <w:tblW w:w="9535" w:type="dxa"/>
        <w:tblLook w:val="04A0" w:firstRow="1" w:lastRow="0" w:firstColumn="1" w:lastColumn="0" w:noHBand="0" w:noVBand="1"/>
      </w:tblPr>
      <w:tblGrid>
        <w:gridCol w:w="775"/>
        <w:gridCol w:w="8760"/>
      </w:tblGrid>
      <w:tr w:rsidR="00424DA6" w:rsidRPr="00C00FAC" w14:paraId="4D80C7A9" w14:textId="77777777" w:rsidTr="00E338B3">
        <w:tc>
          <w:tcPr>
            <w:tcW w:w="0" w:type="auto"/>
            <w:shd w:val="clear" w:color="auto" w:fill="DBE5F1" w:themeFill="accent1" w:themeFillTint="33"/>
          </w:tcPr>
          <w:p w14:paraId="11572AFD" w14:textId="77777777" w:rsidR="00424DA6" w:rsidRPr="00C00FAC" w:rsidRDefault="00424DA6" w:rsidP="00E338B3">
            <w:pPr>
              <w:pStyle w:val="Heading5"/>
              <w:shd w:val="clear" w:color="auto" w:fill="auto"/>
              <w:spacing w:before="0" w:after="0"/>
              <w:ind w:left="0"/>
            </w:pPr>
            <w:r w:rsidRPr="00C00FAC">
              <w:t>Tool</w:t>
            </w:r>
          </w:p>
        </w:tc>
        <w:tc>
          <w:tcPr>
            <w:tcW w:w="8760" w:type="dxa"/>
            <w:shd w:val="clear" w:color="auto" w:fill="DBE5F1" w:themeFill="accent1" w:themeFillTint="33"/>
          </w:tcPr>
          <w:p w14:paraId="5818E11C" w14:textId="77777777" w:rsidR="00424DA6" w:rsidRPr="00C00FAC" w:rsidRDefault="00424DA6" w:rsidP="00E338B3">
            <w:pPr>
              <w:pStyle w:val="Heading5"/>
              <w:shd w:val="clear" w:color="auto" w:fill="auto"/>
              <w:spacing w:before="0" w:after="0"/>
              <w:ind w:left="0"/>
            </w:pPr>
            <w:r w:rsidRPr="00C00FAC">
              <w:t>Name</w:t>
            </w:r>
          </w:p>
        </w:tc>
      </w:tr>
      <w:tr w:rsidR="00424DA6" w:rsidRPr="00402FA4" w14:paraId="0CD6DD03" w14:textId="77777777" w:rsidTr="00E338B3">
        <w:tc>
          <w:tcPr>
            <w:tcW w:w="0" w:type="auto"/>
            <w:shd w:val="clear" w:color="auto" w:fill="auto"/>
            <w:vAlign w:val="center"/>
          </w:tcPr>
          <w:p w14:paraId="60788C17" w14:textId="77777777" w:rsidR="00424DA6" w:rsidRDefault="00424DA6" w:rsidP="00E338B3">
            <w:pPr>
              <w:pStyle w:val="Heading5"/>
              <w:shd w:val="clear" w:color="auto" w:fill="auto"/>
              <w:spacing w:before="0" w:after="0"/>
              <w:ind w:left="0"/>
              <w:jc w:val="center"/>
              <w:rPr>
                <w:b w:val="0"/>
                <w:bCs/>
              </w:rPr>
            </w:pPr>
            <w:r>
              <w:rPr>
                <w:b w:val="0"/>
                <w:bCs/>
              </w:rPr>
              <w:t>1</w:t>
            </w:r>
          </w:p>
        </w:tc>
        <w:tc>
          <w:tcPr>
            <w:tcW w:w="8760" w:type="dxa"/>
            <w:shd w:val="clear" w:color="auto" w:fill="auto"/>
          </w:tcPr>
          <w:p w14:paraId="0BA32533" w14:textId="77777777" w:rsidR="00424DA6" w:rsidRPr="00402FA4" w:rsidRDefault="00424DA6" w:rsidP="00E338B3">
            <w:pPr>
              <w:pStyle w:val="Heading5"/>
              <w:shd w:val="clear" w:color="auto" w:fill="auto"/>
              <w:spacing w:before="0" w:after="0"/>
              <w:ind w:left="0"/>
              <w:rPr>
                <w:b w:val="0"/>
                <w:bCs/>
              </w:rPr>
            </w:pPr>
            <w:r w:rsidRPr="007C2BC2">
              <w:rPr>
                <w:b w:val="0"/>
                <w:bCs/>
                <w:lang w:val="en"/>
              </w:rPr>
              <w:t>Example Assessment Terms of Reference (TOR)</w:t>
            </w:r>
          </w:p>
        </w:tc>
      </w:tr>
    </w:tbl>
    <w:p w14:paraId="4F51D4A2" w14:textId="77777777" w:rsidR="00424DA6" w:rsidRDefault="00424DA6" w:rsidP="00424DA6"/>
    <w:p w14:paraId="1ED17490" w14:textId="5100C25D" w:rsidR="00AF50A9" w:rsidRDefault="009F5E10" w:rsidP="00AF50A9">
      <w:pPr>
        <w:pStyle w:val="Heading2"/>
      </w:pPr>
      <w:bookmarkStart w:id="37" w:name="_Toc43130668"/>
      <w:r>
        <w:t xml:space="preserve">Assessment </w:t>
      </w:r>
      <w:r w:rsidR="00AF50A9">
        <w:t>Planning</w:t>
      </w:r>
      <w:bookmarkEnd w:id="37"/>
    </w:p>
    <w:p w14:paraId="586CF884" w14:textId="3C018B9C" w:rsidR="00010406" w:rsidRPr="00446F1A" w:rsidRDefault="00061B00" w:rsidP="00D5218A">
      <w:pPr>
        <w:spacing w:before="120" w:after="120"/>
        <w:jc w:val="both"/>
        <w:rPr>
          <w:rFonts w:ascii="Garamond" w:hAnsi="Garamond"/>
          <w:sz w:val="22"/>
          <w:szCs w:val="22"/>
        </w:rPr>
      </w:pPr>
      <w:r w:rsidRPr="00F40C2A">
        <w:rPr>
          <w:rFonts w:ascii="Garamond" w:hAnsi="Garamond"/>
          <w:sz w:val="22"/>
          <w:szCs w:val="22"/>
        </w:rPr>
        <w:t>Planning for the implementation of the</w:t>
      </w:r>
      <w:r w:rsidR="007D15A4" w:rsidRPr="00F40C2A">
        <w:rPr>
          <w:rFonts w:ascii="Garamond" w:hAnsi="Garamond"/>
          <w:sz w:val="22"/>
          <w:szCs w:val="22"/>
        </w:rPr>
        <w:t xml:space="preserve"> assessment includes </w:t>
      </w:r>
      <w:proofErr w:type="gramStart"/>
      <w:r w:rsidR="007D15A4" w:rsidRPr="00F40C2A">
        <w:rPr>
          <w:rFonts w:ascii="Garamond" w:hAnsi="Garamond"/>
          <w:sz w:val="22"/>
          <w:szCs w:val="22"/>
        </w:rPr>
        <w:t>a number of</w:t>
      </w:r>
      <w:proofErr w:type="gramEnd"/>
      <w:r w:rsidR="007D15A4" w:rsidRPr="00F40C2A">
        <w:rPr>
          <w:rFonts w:ascii="Garamond" w:hAnsi="Garamond"/>
          <w:sz w:val="22"/>
          <w:szCs w:val="22"/>
        </w:rPr>
        <w:t xml:space="preserve"> key steps to ensure </w:t>
      </w:r>
      <w:r w:rsidR="00BA0C74">
        <w:rPr>
          <w:rFonts w:ascii="Garamond" w:hAnsi="Garamond"/>
          <w:sz w:val="22"/>
          <w:szCs w:val="22"/>
        </w:rPr>
        <w:t>NMP</w:t>
      </w:r>
      <w:r w:rsidRPr="00F40C2A">
        <w:rPr>
          <w:rFonts w:ascii="Garamond" w:hAnsi="Garamond"/>
          <w:sz w:val="22"/>
          <w:szCs w:val="22"/>
        </w:rPr>
        <w:t xml:space="preserve"> leadership </w:t>
      </w:r>
      <w:r w:rsidR="0022182F">
        <w:rPr>
          <w:rFonts w:ascii="Garamond" w:hAnsi="Garamond"/>
          <w:sz w:val="22"/>
          <w:szCs w:val="22"/>
        </w:rPr>
        <w:t xml:space="preserve">involvement </w:t>
      </w:r>
      <w:r w:rsidRPr="00F40C2A">
        <w:rPr>
          <w:rFonts w:ascii="Garamond" w:hAnsi="Garamond"/>
          <w:sz w:val="22"/>
          <w:szCs w:val="22"/>
        </w:rPr>
        <w:t>and buy-in from key malaria stakeholders.</w:t>
      </w:r>
      <w:r w:rsidR="00917402">
        <w:rPr>
          <w:rFonts w:ascii="Garamond" w:hAnsi="Garamond"/>
          <w:sz w:val="22"/>
          <w:szCs w:val="22"/>
        </w:rPr>
        <w:t xml:space="preserve"> </w:t>
      </w:r>
      <w:r w:rsidRPr="00F40C2A">
        <w:rPr>
          <w:rFonts w:ascii="Garamond" w:hAnsi="Garamond"/>
          <w:sz w:val="22"/>
          <w:szCs w:val="22"/>
        </w:rPr>
        <w:t xml:space="preserve">This is important to </w:t>
      </w:r>
      <w:r w:rsidR="001E1322">
        <w:rPr>
          <w:rFonts w:ascii="Garamond" w:hAnsi="Garamond"/>
          <w:sz w:val="22"/>
          <w:szCs w:val="22"/>
        </w:rPr>
        <w:t>reinforce</w:t>
      </w:r>
      <w:r w:rsidR="0060439D" w:rsidRPr="00F40C2A">
        <w:rPr>
          <w:rFonts w:ascii="Garamond" w:hAnsi="Garamond"/>
          <w:sz w:val="22"/>
          <w:szCs w:val="22"/>
        </w:rPr>
        <w:t xml:space="preserve"> </w:t>
      </w:r>
      <w:r w:rsidRPr="00F40C2A">
        <w:rPr>
          <w:rFonts w:ascii="Garamond" w:hAnsi="Garamond"/>
          <w:sz w:val="22"/>
          <w:szCs w:val="22"/>
        </w:rPr>
        <w:t>effective and timely implementation of the assessment itself</w:t>
      </w:r>
      <w:r w:rsidR="0060439D">
        <w:rPr>
          <w:rFonts w:ascii="Garamond" w:hAnsi="Garamond"/>
          <w:sz w:val="22"/>
          <w:szCs w:val="22"/>
        </w:rPr>
        <w:t>,</w:t>
      </w:r>
      <w:r w:rsidRPr="00F40C2A">
        <w:rPr>
          <w:rFonts w:ascii="Garamond" w:hAnsi="Garamond"/>
          <w:sz w:val="22"/>
          <w:szCs w:val="22"/>
        </w:rPr>
        <w:t xml:space="preserve"> as well as understanding of </w:t>
      </w:r>
      <w:proofErr w:type="spellStart"/>
      <w:r w:rsidRPr="00F40C2A">
        <w:rPr>
          <w:rFonts w:ascii="Garamond" w:hAnsi="Garamond"/>
          <w:sz w:val="22"/>
          <w:szCs w:val="22"/>
        </w:rPr>
        <w:t>and</w:t>
      </w:r>
      <w:proofErr w:type="spellEnd"/>
      <w:r w:rsidRPr="00F40C2A">
        <w:rPr>
          <w:rFonts w:ascii="Garamond" w:hAnsi="Garamond"/>
          <w:sz w:val="22"/>
          <w:szCs w:val="22"/>
        </w:rPr>
        <w:t xml:space="preserve"> agreement with the assessment team</w:t>
      </w:r>
      <w:r w:rsidR="001E1322">
        <w:rPr>
          <w:rFonts w:ascii="Garamond" w:hAnsi="Garamond"/>
          <w:sz w:val="22"/>
          <w:szCs w:val="22"/>
        </w:rPr>
        <w:t>’s</w:t>
      </w:r>
      <w:r w:rsidRPr="00F40C2A">
        <w:rPr>
          <w:rFonts w:ascii="Garamond" w:hAnsi="Garamond"/>
          <w:sz w:val="22"/>
          <w:szCs w:val="22"/>
        </w:rPr>
        <w:t xml:space="preserve"> observations </w:t>
      </w:r>
      <w:proofErr w:type="gramStart"/>
      <w:r w:rsidRPr="00F40C2A">
        <w:rPr>
          <w:rFonts w:ascii="Garamond" w:hAnsi="Garamond"/>
          <w:sz w:val="22"/>
          <w:szCs w:val="22"/>
        </w:rPr>
        <w:t>in order to</w:t>
      </w:r>
      <w:proofErr w:type="gramEnd"/>
      <w:r w:rsidRPr="00F40C2A">
        <w:rPr>
          <w:rFonts w:ascii="Garamond" w:hAnsi="Garamond"/>
          <w:sz w:val="22"/>
          <w:szCs w:val="22"/>
        </w:rPr>
        <w:t xml:space="preserve"> inform action plans and concrete next steps to address findings of the assessment. </w:t>
      </w:r>
      <w:r w:rsidR="00F17FF0">
        <w:rPr>
          <w:rFonts w:ascii="Garamond" w:hAnsi="Garamond"/>
          <w:sz w:val="22"/>
          <w:szCs w:val="22"/>
        </w:rPr>
        <w:t xml:space="preserve"> </w:t>
      </w:r>
      <w:r w:rsidR="00010406">
        <w:rPr>
          <w:rFonts w:ascii="Garamond" w:hAnsi="Garamond"/>
          <w:sz w:val="22"/>
          <w:szCs w:val="22"/>
        </w:rPr>
        <w:t xml:space="preserve">This toolkit outlines </w:t>
      </w:r>
      <w:r w:rsidR="00010406" w:rsidRPr="001E1322">
        <w:rPr>
          <w:rFonts w:ascii="Garamond" w:hAnsi="Garamond"/>
          <w:b/>
          <w:bCs/>
          <w:sz w:val="22"/>
          <w:szCs w:val="22"/>
        </w:rPr>
        <w:t>ten steps</w:t>
      </w:r>
      <w:r w:rsidR="00010406">
        <w:rPr>
          <w:rFonts w:ascii="Garamond" w:hAnsi="Garamond"/>
          <w:sz w:val="22"/>
          <w:szCs w:val="22"/>
        </w:rPr>
        <w:t xml:space="preserve"> to planning, implementing, and reporting on ITN continuous distribution assessments. </w:t>
      </w:r>
      <w:r w:rsidR="00010406" w:rsidRPr="00BF2E1D">
        <w:rPr>
          <w:rFonts w:ascii="Garamond" w:hAnsi="Garamond"/>
          <w:sz w:val="22"/>
        </w:rPr>
        <w:t>A Gantt chart</w:t>
      </w:r>
      <w:r w:rsidR="00CB0006" w:rsidRPr="00917402">
        <w:rPr>
          <w:rFonts w:ascii="Garamond" w:hAnsi="Garamond"/>
          <w:sz w:val="22"/>
        </w:rPr>
        <w:t xml:space="preserve">, </w:t>
      </w:r>
      <w:r w:rsidR="00283298" w:rsidRPr="00917402">
        <w:rPr>
          <w:rFonts w:ascii="Garamond" w:hAnsi="Garamond"/>
          <w:sz w:val="22"/>
        </w:rPr>
        <w:t>T</w:t>
      </w:r>
      <w:r w:rsidR="00CB0006" w:rsidRPr="00917402">
        <w:rPr>
          <w:rFonts w:ascii="Garamond" w:hAnsi="Garamond"/>
          <w:sz w:val="22"/>
        </w:rPr>
        <w:t xml:space="preserve">ool 2 shows the planning timeline and </w:t>
      </w:r>
      <w:proofErr w:type="gramStart"/>
      <w:r w:rsidR="00CB0006" w:rsidRPr="00917402">
        <w:rPr>
          <w:rFonts w:ascii="Garamond" w:hAnsi="Garamond"/>
          <w:sz w:val="22"/>
        </w:rPr>
        <w:t>check-list</w:t>
      </w:r>
      <w:proofErr w:type="gramEnd"/>
      <w:r w:rsidR="00572670">
        <w:rPr>
          <w:rFonts w:ascii="Garamond" w:hAnsi="Garamond"/>
          <w:sz w:val="22"/>
        </w:rPr>
        <w:t xml:space="preserve"> </w:t>
      </w:r>
      <w:r w:rsidR="00010406" w:rsidRPr="00BF2E1D">
        <w:rPr>
          <w:rFonts w:ascii="Garamond" w:hAnsi="Garamond"/>
          <w:sz w:val="22"/>
        </w:rPr>
        <w:t>presenting each of the below steps and estimated</w:t>
      </w:r>
      <w:r w:rsidR="00010406" w:rsidRPr="00BF2E1D">
        <w:rPr>
          <w:rFonts w:ascii="Garamond" w:hAnsi="Garamond"/>
          <w:sz w:val="22"/>
          <w:szCs w:val="22"/>
        </w:rPr>
        <w:t xml:space="preserve"> timetable is included in Assessment Tools, Tool 2, </w:t>
      </w:r>
      <w:r w:rsidR="00283298" w:rsidRPr="00BF2E1D">
        <w:rPr>
          <w:rFonts w:ascii="Garamond" w:hAnsi="Garamond"/>
          <w:sz w:val="22"/>
          <w:szCs w:val="22"/>
        </w:rPr>
        <w:t xml:space="preserve">available at </w:t>
      </w:r>
      <w:r w:rsidR="00B61139" w:rsidRPr="00BF2E1D">
        <w:rPr>
          <w:rFonts w:ascii="Garamond" w:hAnsi="Garamond"/>
          <w:sz w:val="22"/>
          <w:szCs w:val="22"/>
        </w:rPr>
        <w:t>Continuousdistribution.org</w:t>
      </w:r>
      <w:r w:rsidR="00010406" w:rsidRPr="00BF2E1D">
        <w:rPr>
          <w:rFonts w:ascii="Garamond" w:hAnsi="Garamond"/>
          <w:sz w:val="22"/>
          <w:szCs w:val="22"/>
        </w:rPr>
        <w:t>.</w:t>
      </w:r>
    </w:p>
    <w:p w14:paraId="29641D4A" w14:textId="245D2B4E" w:rsidR="00AF50A9" w:rsidRDefault="00052325" w:rsidP="00DB5E9A">
      <w:pPr>
        <w:pStyle w:val="Heading3"/>
        <w:jc w:val="both"/>
      </w:pPr>
      <w:bookmarkStart w:id="38" w:name="_Toc43130669"/>
      <w:bookmarkEnd w:id="33"/>
      <w:r>
        <w:t xml:space="preserve">Step One: </w:t>
      </w:r>
      <w:r w:rsidR="00AF50A9">
        <w:t>Coordinat</w:t>
      </w:r>
      <w:r>
        <w:t>e</w:t>
      </w:r>
      <w:bookmarkEnd w:id="38"/>
    </w:p>
    <w:p w14:paraId="770442F5" w14:textId="083DABDC" w:rsidR="008A41FA" w:rsidRPr="00F40C2A" w:rsidRDefault="00061B00" w:rsidP="00D5218A">
      <w:pPr>
        <w:spacing w:before="120" w:after="120"/>
        <w:jc w:val="both"/>
        <w:rPr>
          <w:rFonts w:ascii="Garamond" w:hAnsi="Garamond"/>
          <w:sz w:val="22"/>
          <w:szCs w:val="22"/>
        </w:rPr>
      </w:pPr>
      <w:r w:rsidRPr="00F40C2A">
        <w:rPr>
          <w:rFonts w:ascii="Garamond" w:hAnsi="Garamond"/>
          <w:sz w:val="22"/>
          <w:szCs w:val="22"/>
        </w:rPr>
        <w:t xml:space="preserve">Efficient and effective distribution of ITNs involves many technical, financial, logistical, health service, and community partners. </w:t>
      </w:r>
      <w:r w:rsidR="0033081D" w:rsidRPr="00F40C2A">
        <w:rPr>
          <w:rFonts w:ascii="Garamond" w:hAnsi="Garamond"/>
          <w:sz w:val="22"/>
          <w:szCs w:val="22"/>
        </w:rPr>
        <w:t>Including these partners in the planning, implementation, and reporting components of the assessment is critical for compiling context-specific information,</w:t>
      </w:r>
      <w:r w:rsidR="001E1322">
        <w:rPr>
          <w:rFonts w:ascii="Garamond" w:hAnsi="Garamond"/>
          <w:sz w:val="22"/>
          <w:szCs w:val="22"/>
        </w:rPr>
        <w:t xml:space="preserve"> </w:t>
      </w:r>
      <w:r w:rsidR="0033081D" w:rsidRPr="00F40C2A">
        <w:rPr>
          <w:rFonts w:ascii="Garamond" w:hAnsi="Garamond"/>
          <w:sz w:val="22"/>
          <w:szCs w:val="22"/>
        </w:rPr>
        <w:t xml:space="preserve">ensuring broad participation in the assessment, and consensus for actions to be taken to implement recommendations from the assessment. </w:t>
      </w:r>
    </w:p>
    <w:p w14:paraId="4C7CBEF4" w14:textId="3A5C659D" w:rsidR="008A41FA" w:rsidRPr="00F40C2A" w:rsidRDefault="008D79D3" w:rsidP="00D5218A">
      <w:pPr>
        <w:spacing w:before="120" w:after="120"/>
        <w:jc w:val="both"/>
        <w:rPr>
          <w:rFonts w:ascii="Garamond" w:hAnsi="Garamond"/>
          <w:sz w:val="22"/>
          <w:szCs w:val="22"/>
        </w:rPr>
      </w:pPr>
      <w:r>
        <w:rPr>
          <w:rFonts w:ascii="Garamond" w:hAnsi="Garamond"/>
          <w:b/>
          <w:bCs/>
          <w:sz w:val="22"/>
          <w:szCs w:val="22"/>
        </w:rPr>
        <w:t>STEP</w:t>
      </w:r>
      <w:r w:rsidRPr="00F40C2A">
        <w:rPr>
          <w:rFonts w:ascii="Garamond" w:hAnsi="Garamond"/>
          <w:b/>
          <w:bCs/>
          <w:sz w:val="22"/>
          <w:szCs w:val="22"/>
        </w:rPr>
        <w:t xml:space="preserve"> 1.1 MEET WITH THE MINISTRY OF HEALTH, NATIONAL MALARIA PROGRAM</w:t>
      </w:r>
      <w:r w:rsidRPr="00F40C2A">
        <w:rPr>
          <w:rFonts w:ascii="Garamond" w:hAnsi="Garamond"/>
          <w:sz w:val="22"/>
          <w:szCs w:val="22"/>
        </w:rPr>
        <w:t xml:space="preserve"> </w:t>
      </w:r>
    </w:p>
    <w:p w14:paraId="340F6EC7" w14:textId="77777777" w:rsidR="00F26FEE" w:rsidRPr="002B00A7" w:rsidRDefault="00A835EE" w:rsidP="002B00A7">
      <w:pPr>
        <w:pStyle w:val="1-Bullet"/>
        <w:rPr>
          <w:b w:val="0"/>
          <w:bCs/>
          <w:szCs w:val="22"/>
        </w:rPr>
      </w:pPr>
      <w:r w:rsidRPr="002B00A7">
        <w:rPr>
          <w:b w:val="0"/>
          <w:bCs/>
          <w:szCs w:val="22"/>
        </w:rPr>
        <w:t>Present the objectives, methods and planning steps using the Gantt chart (Tool 2) for the assessment</w:t>
      </w:r>
    </w:p>
    <w:p w14:paraId="2CD6520F" w14:textId="77777777" w:rsidR="00F26FEE" w:rsidRPr="002B00A7" w:rsidRDefault="00F26FEE" w:rsidP="002B00A7">
      <w:pPr>
        <w:pStyle w:val="1-Bullet"/>
        <w:rPr>
          <w:b w:val="0"/>
          <w:bCs/>
          <w:szCs w:val="22"/>
        </w:rPr>
      </w:pPr>
      <w:r w:rsidRPr="002B00A7">
        <w:rPr>
          <w:b w:val="0"/>
          <w:bCs/>
          <w:szCs w:val="22"/>
        </w:rPr>
        <w:t>Respond to questions and concerns from the NMP</w:t>
      </w:r>
    </w:p>
    <w:p w14:paraId="4A051907" w14:textId="77777777" w:rsidR="00F26FEE" w:rsidRPr="002B00A7" w:rsidRDefault="00F26FEE" w:rsidP="002B00A7">
      <w:pPr>
        <w:pStyle w:val="1-Bullet"/>
        <w:rPr>
          <w:b w:val="0"/>
          <w:bCs/>
          <w:szCs w:val="22"/>
        </w:rPr>
      </w:pPr>
      <w:r w:rsidRPr="002B00A7">
        <w:rPr>
          <w:b w:val="0"/>
          <w:bCs/>
          <w:szCs w:val="22"/>
        </w:rPr>
        <w:t>Incorporate NMP recommendations in the assessment plan (Gantt)</w:t>
      </w:r>
    </w:p>
    <w:p w14:paraId="36A85104" w14:textId="77777777" w:rsidR="00F26FEE" w:rsidRPr="002B00A7" w:rsidRDefault="00F26FEE" w:rsidP="002B00A7">
      <w:pPr>
        <w:pStyle w:val="1-Bullet"/>
        <w:rPr>
          <w:b w:val="0"/>
          <w:bCs/>
          <w:szCs w:val="22"/>
        </w:rPr>
      </w:pPr>
      <w:r w:rsidRPr="002B00A7">
        <w:rPr>
          <w:b w:val="0"/>
          <w:bCs/>
          <w:szCs w:val="22"/>
        </w:rPr>
        <w:t>Confirm NMP interest, availability for, and approval to conduct the assessment in their country</w:t>
      </w:r>
    </w:p>
    <w:p w14:paraId="2AF73EDC" w14:textId="67048546" w:rsidR="00A835EE" w:rsidRPr="002B00A7" w:rsidRDefault="00F26FEE" w:rsidP="002B00A7">
      <w:pPr>
        <w:pStyle w:val="1-Bullet"/>
        <w:rPr>
          <w:b w:val="0"/>
          <w:bCs/>
          <w:szCs w:val="22"/>
        </w:rPr>
      </w:pPr>
      <w:r w:rsidRPr="002B00A7">
        <w:rPr>
          <w:b w:val="0"/>
          <w:bCs/>
          <w:szCs w:val="22"/>
        </w:rPr>
        <w:t>Identify key stakeholders whom the NMP would like to include in the assessment</w:t>
      </w:r>
    </w:p>
    <w:p w14:paraId="18119EEC" w14:textId="2E60EE8E" w:rsidR="009F193F" w:rsidRPr="00BB7E94" w:rsidRDefault="009F193F" w:rsidP="008D6F3B">
      <w:pPr>
        <w:pStyle w:val="1-Bullet2"/>
      </w:pPr>
      <w:r w:rsidRPr="00BB7E94">
        <w:t>Key stakeholders include: MOH/NMP, Reproductive Health, Expanded Program on Immunization (EPI) staff; financial and technical partners including World Health Organization (WHO), UNICEF; ITN distribution partners, research and M&amp;E partners</w:t>
      </w:r>
    </w:p>
    <w:p w14:paraId="62D573EC" w14:textId="6C806E74" w:rsidR="00F635BC" w:rsidRPr="002B00A7" w:rsidRDefault="00F635BC" w:rsidP="002B00A7">
      <w:pPr>
        <w:pStyle w:val="1-Bullet"/>
        <w:rPr>
          <w:b w:val="0"/>
          <w:bCs/>
          <w:szCs w:val="22"/>
        </w:rPr>
      </w:pPr>
      <w:r w:rsidRPr="002B00A7">
        <w:rPr>
          <w:b w:val="0"/>
          <w:bCs/>
          <w:szCs w:val="22"/>
        </w:rPr>
        <w:t>Review key elements of the Planning checklist tool</w:t>
      </w:r>
    </w:p>
    <w:p w14:paraId="161A417E" w14:textId="5B2263A4" w:rsidR="00F635BC" w:rsidRPr="002B00A7" w:rsidRDefault="00F635BC" w:rsidP="002B00A7">
      <w:pPr>
        <w:pStyle w:val="1-Bullet"/>
        <w:rPr>
          <w:b w:val="0"/>
          <w:bCs/>
          <w:szCs w:val="22"/>
        </w:rPr>
      </w:pPr>
      <w:r w:rsidRPr="002B00A7">
        <w:rPr>
          <w:b w:val="0"/>
          <w:bCs/>
          <w:szCs w:val="22"/>
        </w:rPr>
        <w:t>Establish a timeframe for conducting the assessment and key milestones to achieve planning steps</w:t>
      </w:r>
    </w:p>
    <w:p w14:paraId="799E4162" w14:textId="30D82459" w:rsidR="00052325" w:rsidRPr="00F40C2A" w:rsidRDefault="00D5218A" w:rsidP="00D5218A">
      <w:pPr>
        <w:pStyle w:val="NoSpacing"/>
        <w:spacing w:before="120" w:after="120"/>
        <w:jc w:val="both"/>
        <w:rPr>
          <w:rFonts w:ascii="Garamond" w:hAnsi="Garamond" w:cs="Times New Roman"/>
          <w:b/>
          <w:bCs/>
          <w:lang w:val="en"/>
        </w:rPr>
      </w:pPr>
      <w:r w:rsidRPr="00F40C2A">
        <w:rPr>
          <w:rFonts w:ascii="Garamond" w:hAnsi="Garamond" w:cs="Times New Roman"/>
          <w:b/>
          <w:bCs/>
          <w:lang w:val="en"/>
        </w:rPr>
        <w:t xml:space="preserve">STEP 1.2 ESTABLISH A COORDINATION APPROACH </w:t>
      </w:r>
    </w:p>
    <w:p w14:paraId="72CAC833" w14:textId="19F9CFB2" w:rsidR="006E6CDB" w:rsidRPr="00C778E9" w:rsidRDefault="002B45BF" w:rsidP="00D5218A">
      <w:pPr>
        <w:spacing w:before="120" w:after="120"/>
        <w:jc w:val="both"/>
        <w:rPr>
          <w:rFonts w:ascii="Garamond" w:hAnsi="Garamond" w:cs="Calibri"/>
          <w:sz w:val="22"/>
          <w:szCs w:val="22"/>
        </w:rPr>
      </w:pPr>
      <w:r w:rsidRPr="00F40C2A">
        <w:rPr>
          <w:rFonts w:ascii="Garamond" w:hAnsi="Garamond" w:cs="Calibri"/>
          <w:sz w:val="22"/>
          <w:szCs w:val="22"/>
        </w:rPr>
        <w:t xml:space="preserve">The NMP may choose to manage coordination directly </w:t>
      </w:r>
      <w:r w:rsidR="00D90D08" w:rsidRPr="00F40C2A">
        <w:rPr>
          <w:rFonts w:ascii="Garamond" w:hAnsi="Garamond" w:cs="Calibri"/>
          <w:sz w:val="22"/>
          <w:szCs w:val="22"/>
        </w:rPr>
        <w:t>through regular check-in meetings and e-mail</w:t>
      </w:r>
      <w:r w:rsidR="004F2810">
        <w:rPr>
          <w:rFonts w:ascii="Garamond" w:hAnsi="Garamond" w:cs="Calibri"/>
          <w:sz w:val="22"/>
          <w:szCs w:val="22"/>
        </w:rPr>
        <w:t xml:space="preserve"> or through a </w:t>
      </w:r>
      <w:r w:rsidR="00052325" w:rsidRPr="00F40C2A">
        <w:rPr>
          <w:rFonts w:ascii="Garamond" w:hAnsi="Garamond" w:cs="Calibri"/>
          <w:sz w:val="22"/>
          <w:szCs w:val="22"/>
        </w:rPr>
        <w:t xml:space="preserve">steering committee </w:t>
      </w:r>
      <w:r w:rsidR="004F2810">
        <w:rPr>
          <w:rFonts w:ascii="Garamond" w:hAnsi="Garamond" w:cs="Calibri"/>
          <w:sz w:val="22"/>
          <w:szCs w:val="22"/>
        </w:rPr>
        <w:t xml:space="preserve">led by MOH/NMP </w:t>
      </w:r>
      <w:r w:rsidRPr="00F40C2A">
        <w:rPr>
          <w:rFonts w:ascii="Garamond" w:hAnsi="Garamond" w:cs="Calibri"/>
          <w:sz w:val="22"/>
          <w:szCs w:val="22"/>
        </w:rPr>
        <w:t>to support the assessment planning steps outlined</w:t>
      </w:r>
      <w:r w:rsidR="004F2810">
        <w:rPr>
          <w:rFonts w:ascii="Garamond" w:hAnsi="Garamond" w:cs="Calibri"/>
          <w:sz w:val="22"/>
          <w:szCs w:val="22"/>
        </w:rPr>
        <w:t xml:space="preserve"> below</w:t>
      </w:r>
      <w:r w:rsidR="00052325" w:rsidRPr="00F40C2A">
        <w:rPr>
          <w:rFonts w:ascii="Garamond" w:hAnsi="Garamond" w:cs="Calibri"/>
          <w:sz w:val="22"/>
          <w:szCs w:val="22"/>
        </w:rPr>
        <w:t>.</w:t>
      </w:r>
    </w:p>
    <w:p w14:paraId="56CE7E61" w14:textId="3F137DF4" w:rsidR="006E6CDB" w:rsidRPr="00C778E9" w:rsidRDefault="00D5218A" w:rsidP="00D5218A">
      <w:pPr>
        <w:spacing w:before="120" w:after="120"/>
        <w:jc w:val="both"/>
        <w:rPr>
          <w:rFonts w:ascii="Garamond" w:hAnsi="Garamond" w:cs="Calibri"/>
          <w:b/>
          <w:bCs/>
          <w:sz w:val="22"/>
          <w:szCs w:val="22"/>
        </w:rPr>
      </w:pPr>
      <w:r w:rsidRPr="006E6CDB">
        <w:rPr>
          <w:rFonts w:ascii="Garamond" w:hAnsi="Garamond" w:cs="Calibri"/>
          <w:b/>
          <w:bCs/>
          <w:sz w:val="22"/>
          <w:szCs w:val="22"/>
        </w:rPr>
        <w:t xml:space="preserve">STEP 1.3 IDENTIFY KEY INFORMANTS AND ESTABLISH </w:t>
      </w:r>
      <w:r>
        <w:rPr>
          <w:rFonts w:ascii="Garamond" w:hAnsi="Garamond" w:cs="Calibri"/>
          <w:b/>
          <w:bCs/>
          <w:sz w:val="22"/>
          <w:szCs w:val="22"/>
        </w:rPr>
        <w:t>INTERVIEW</w:t>
      </w:r>
      <w:r w:rsidRPr="006E6CDB">
        <w:rPr>
          <w:rFonts w:ascii="Garamond" w:hAnsi="Garamond" w:cs="Calibri"/>
          <w:b/>
          <w:bCs/>
          <w:sz w:val="22"/>
          <w:szCs w:val="22"/>
        </w:rPr>
        <w:t xml:space="preserve"> CALENDAR</w:t>
      </w:r>
    </w:p>
    <w:p w14:paraId="6C915343" w14:textId="77777777" w:rsidR="00CB0006" w:rsidRDefault="006E6CDB" w:rsidP="00D5218A">
      <w:pPr>
        <w:spacing w:before="120" w:after="120"/>
        <w:jc w:val="both"/>
        <w:rPr>
          <w:rFonts w:ascii="Garamond" w:hAnsi="Garamond" w:cs="Calibri"/>
          <w:sz w:val="22"/>
          <w:szCs w:val="22"/>
        </w:rPr>
      </w:pPr>
      <w:r w:rsidRPr="00FC571B">
        <w:rPr>
          <w:rFonts w:ascii="Garamond" w:hAnsi="Garamond" w:cs="Calibri"/>
          <w:sz w:val="22"/>
          <w:szCs w:val="22"/>
        </w:rPr>
        <w:t xml:space="preserve">The assessment approach includes a robust set of </w:t>
      </w:r>
      <w:r w:rsidR="003F3F3B">
        <w:rPr>
          <w:rFonts w:ascii="Garamond" w:hAnsi="Garamond" w:cs="Calibri"/>
          <w:sz w:val="22"/>
          <w:szCs w:val="22"/>
        </w:rPr>
        <w:t>key informant interviews (</w:t>
      </w:r>
      <w:r w:rsidRPr="00FC571B">
        <w:rPr>
          <w:rFonts w:ascii="Garamond" w:hAnsi="Garamond" w:cs="Calibri"/>
          <w:sz w:val="22"/>
          <w:szCs w:val="22"/>
        </w:rPr>
        <w:t>KII</w:t>
      </w:r>
      <w:r w:rsidR="003F3F3B">
        <w:rPr>
          <w:rFonts w:ascii="Garamond" w:hAnsi="Garamond" w:cs="Calibri"/>
          <w:sz w:val="22"/>
          <w:szCs w:val="22"/>
        </w:rPr>
        <w:t>)</w:t>
      </w:r>
      <w:r w:rsidRPr="00FC571B">
        <w:rPr>
          <w:rFonts w:ascii="Garamond" w:hAnsi="Garamond" w:cs="Calibri"/>
          <w:sz w:val="22"/>
          <w:szCs w:val="22"/>
        </w:rPr>
        <w:t xml:space="preserve"> at national, regional, district, and facility levels. To ensure completion of all KIIs, </w:t>
      </w:r>
      <w:r w:rsidR="004F66DA">
        <w:rPr>
          <w:rFonts w:ascii="Garamond" w:hAnsi="Garamond" w:cs="Calibri"/>
          <w:sz w:val="22"/>
          <w:szCs w:val="22"/>
        </w:rPr>
        <w:t>the assessment team should</w:t>
      </w:r>
      <w:r w:rsidRPr="00FC571B">
        <w:rPr>
          <w:rFonts w:ascii="Garamond" w:hAnsi="Garamond" w:cs="Calibri"/>
          <w:sz w:val="22"/>
          <w:szCs w:val="22"/>
        </w:rPr>
        <w:t xml:space="preserve"> </w:t>
      </w:r>
      <w:r w:rsidR="00FC571B">
        <w:rPr>
          <w:rFonts w:ascii="Garamond" w:hAnsi="Garamond" w:cs="Calibri"/>
          <w:sz w:val="22"/>
          <w:szCs w:val="22"/>
        </w:rPr>
        <w:t xml:space="preserve">work closely with the NMP to </w:t>
      </w:r>
      <w:r w:rsidRPr="00FC571B">
        <w:rPr>
          <w:rFonts w:ascii="Garamond" w:hAnsi="Garamond" w:cs="Calibri"/>
          <w:sz w:val="22"/>
          <w:szCs w:val="22"/>
        </w:rPr>
        <w:t xml:space="preserve">develop a detailed </w:t>
      </w:r>
      <w:r w:rsidR="001E1322">
        <w:rPr>
          <w:rFonts w:ascii="Garamond" w:hAnsi="Garamond" w:cs="Calibri"/>
          <w:sz w:val="22"/>
          <w:szCs w:val="22"/>
        </w:rPr>
        <w:t>schedule for meetings with</w:t>
      </w:r>
      <w:r w:rsidR="00931C86">
        <w:rPr>
          <w:rFonts w:ascii="Garamond" w:hAnsi="Garamond" w:cs="Calibri"/>
          <w:sz w:val="22"/>
          <w:szCs w:val="22"/>
        </w:rPr>
        <w:t xml:space="preserve"> key informants</w:t>
      </w:r>
      <w:r w:rsidR="001E1322">
        <w:rPr>
          <w:rFonts w:ascii="Garamond" w:hAnsi="Garamond" w:cs="Calibri"/>
          <w:sz w:val="22"/>
          <w:szCs w:val="22"/>
        </w:rPr>
        <w:t>, by organization and individual</w:t>
      </w:r>
      <w:r w:rsidR="00931C86">
        <w:rPr>
          <w:rFonts w:ascii="Garamond" w:hAnsi="Garamond" w:cs="Calibri"/>
          <w:sz w:val="22"/>
          <w:szCs w:val="22"/>
        </w:rPr>
        <w:t>.</w:t>
      </w:r>
    </w:p>
    <w:p w14:paraId="2CD2D43F" w14:textId="77777777" w:rsidR="00CB0006" w:rsidRPr="00BB7E94" w:rsidRDefault="00CB0006" w:rsidP="00BB7E94">
      <w:pPr>
        <w:spacing w:before="120" w:after="120"/>
        <w:jc w:val="both"/>
        <w:rPr>
          <w:rFonts w:ascii="Garamond" w:hAnsi="Garamond" w:cs="Calibri"/>
          <w:sz w:val="22"/>
          <w:szCs w:val="22"/>
        </w:rPr>
      </w:pPr>
      <w:r w:rsidRPr="00BB7E94">
        <w:rPr>
          <w:rFonts w:ascii="Garamond" w:hAnsi="Garamond" w:cs="Calibri"/>
          <w:sz w:val="22"/>
          <w:szCs w:val="22"/>
        </w:rPr>
        <w:t>Key actions include:</w:t>
      </w:r>
    </w:p>
    <w:p w14:paraId="3BED8007" w14:textId="1C8980AC" w:rsidR="00BB7E94" w:rsidRPr="002B00A7" w:rsidRDefault="00BB7E94" w:rsidP="002B00A7">
      <w:pPr>
        <w:pStyle w:val="1-Bullet"/>
        <w:rPr>
          <w:b w:val="0"/>
          <w:bCs/>
          <w:szCs w:val="22"/>
        </w:rPr>
      </w:pPr>
      <w:r w:rsidRPr="002B00A7">
        <w:rPr>
          <w:b w:val="0"/>
          <w:bCs/>
          <w:szCs w:val="22"/>
        </w:rPr>
        <w:lastRenderedPageBreak/>
        <w:t xml:space="preserve">Develop a list with NMP and PMI inputs to include specific contact information for each organization as well as the individual </w:t>
      </w:r>
      <w:r w:rsidR="00572670" w:rsidRPr="002B00A7">
        <w:rPr>
          <w:b w:val="0"/>
          <w:bCs/>
          <w:szCs w:val="22"/>
        </w:rPr>
        <w:t>representatives</w:t>
      </w:r>
      <w:r w:rsidRPr="002B00A7">
        <w:rPr>
          <w:b w:val="0"/>
          <w:bCs/>
          <w:szCs w:val="22"/>
        </w:rPr>
        <w:t xml:space="preserve"> to be met. (Table 1). </w:t>
      </w:r>
    </w:p>
    <w:p w14:paraId="3023D897" w14:textId="18EBA8E2" w:rsidR="00BB7E94" w:rsidRPr="002B00A7" w:rsidRDefault="00BB7E94" w:rsidP="002B00A7">
      <w:pPr>
        <w:pStyle w:val="1-Bullet"/>
        <w:rPr>
          <w:b w:val="0"/>
          <w:bCs/>
          <w:szCs w:val="22"/>
        </w:rPr>
      </w:pPr>
      <w:r w:rsidRPr="002B00A7">
        <w:rPr>
          <w:b w:val="0"/>
          <w:bCs/>
          <w:szCs w:val="22"/>
        </w:rPr>
        <w:t xml:space="preserve">Draft letter with the NMP’s designated assessment focal point to be sent through official MOH channels. The contents of the letter summarize the objectives, approach, and timeframe for the assessment and request the collaboration of designated staff members from each organization who can participate in the KII for the recommended timeslot (i.e., approx. 30-60 minutes for KII at national level; 90 minutes at regional/district and health facility levels). </w:t>
      </w:r>
    </w:p>
    <w:p w14:paraId="17385966" w14:textId="587290CC" w:rsidR="000074EA" w:rsidRPr="002B00A7" w:rsidRDefault="00BB7E94" w:rsidP="002B00A7">
      <w:pPr>
        <w:pStyle w:val="1-Bullet"/>
        <w:rPr>
          <w:b w:val="0"/>
          <w:bCs/>
          <w:szCs w:val="22"/>
        </w:rPr>
      </w:pPr>
      <w:r w:rsidRPr="002B00A7">
        <w:rPr>
          <w:b w:val="0"/>
          <w:bCs/>
          <w:szCs w:val="22"/>
        </w:rPr>
        <w:t>Coordinate with the M</w:t>
      </w:r>
      <w:r w:rsidR="00645E1C" w:rsidRPr="002B00A7">
        <w:rPr>
          <w:b w:val="0"/>
          <w:bCs/>
          <w:szCs w:val="22"/>
        </w:rPr>
        <w:t>O</w:t>
      </w:r>
      <w:r w:rsidRPr="002B00A7">
        <w:rPr>
          <w:b w:val="0"/>
          <w:bCs/>
          <w:szCs w:val="22"/>
        </w:rPr>
        <w:t>H to confirm attendance to meetings and interviews.</w:t>
      </w:r>
      <w:bookmarkStart w:id="39" w:name="_Toc525834982"/>
    </w:p>
    <w:p w14:paraId="4FC19539" w14:textId="197619AD" w:rsidR="000074EA" w:rsidRPr="00E41137" w:rsidRDefault="00085EBE" w:rsidP="00E533F4">
      <w:pPr>
        <w:pStyle w:val="TableTitle"/>
      </w:pPr>
      <w:bookmarkStart w:id="40" w:name="_Toc43120665"/>
      <w:r>
        <w:rPr>
          <w:caps w:val="0"/>
        </w:rPr>
        <w:t xml:space="preserve">Table </w:t>
      </w:r>
      <w:r w:rsidR="000074EA">
        <w:fldChar w:fldCharType="begin"/>
      </w:r>
      <w:r w:rsidR="000074EA">
        <w:instrText xml:space="preserve"> SEQ Table \* ARABIC </w:instrText>
      </w:r>
      <w:r w:rsidR="000074EA">
        <w:fldChar w:fldCharType="separate"/>
      </w:r>
      <w:r>
        <w:rPr>
          <w:caps w:val="0"/>
        </w:rPr>
        <w:t>1</w:t>
      </w:r>
      <w:r w:rsidR="000074EA">
        <w:fldChar w:fldCharType="end"/>
      </w:r>
      <w:r>
        <w:rPr>
          <w:caps w:val="0"/>
        </w:rPr>
        <w:t xml:space="preserve">: </w:t>
      </w:r>
      <w:r w:rsidRPr="00C65C3E">
        <w:rPr>
          <w:caps w:val="0"/>
        </w:rPr>
        <w:t>Example, I</w:t>
      </w:r>
      <w:r>
        <w:rPr>
          <w:caps w:val="0"/>
        </w:rPr>
        <w:t>TN</w:t>
      </w:r>
      <w:r w:rsidRPr="00C65C3E">
        <w:rPr>
          <w:caps w:val="0"/>
        </w:rPr>
        <w:t xml:space="preserve"> Distribution Assessment Meetings Summary, Burkina Faso</w:t>
      </w:r>
      <w:bookmarkEnd w:id="40"/>
    </w:p>
    <w:tbl>
      <w:tblPr>
        <w:tblStyle w:val="TableGridlinesStyles"/>
        <w:tblW w:w="0" w:type="auto"/>
        <w:tblLook w:val="04A0" w:firstRow="1" w:lastRow="0" w:firstColumn="1" w:lastColumn="0" w:noHBand="0" w:noVBand="1"/>
      </w:tblPr>
      <w:tblGrid>
        <w:gridCol w:w="720"/>
        <w:gridCol w:w="1350"/>
        <w:gridCol w:w="7280"/>
      </w:tblGrid>
      <w:tr w:rsidR="00C65C3E" w:rsidRPr="00CB27D9" w14:paraId="42AA32F3" w14:textId="77777777" w:rsidTr="00085EBE">
        <w:trPr>
          <w:cnfStyle w:val="100000000000" w:firstRow="1" w:lastRow="0" w:firstColumn="0" w:lastColumn="0" w:oddVBand="0" w:evenVBand="0" w:oddHBand="0" w:evenHBand="0" w:firstRowFirstColumn="0" w:firstRowLastColumn="0" w:lastRowFirstColumn="0" w:lastRowLastColumn="0"/>
        </w:trPr>
        <w:tc>
          <w:tcPr>
            <w:tcW w:w="2070" w:type="dxa"/>
            <w:gridSpan w:val="2"/>
          </w:tcPr>
          <w:p w14:paraId="50868E16" w14:textId="15B37E0B" w:rsidR="00C65C3E" w:rsidRPr="00CB27D9" w:rsidRDefault="00CB27D9" w:rsidP="00CB27D9">
            <w:pPr>
              <w:pStyle w:val="TableSubtitles"/>
              <w:rPr>
                <w:b/>
                <w:sz w:val="22"/>
                <w:szCs w:val="22"/>
              </w:rPr>
            </w:pPr>
            <w:r w:rsidRPr="00CB27D9">
              <w:rPr>
                <w:b/>
                <w:sz w:val="22"/>
                <w:szCs w:val="22"/>
              </w:rPr>
              <w:t>Sites</w:t>
            </w:r>
          </w:p>
        </w:tc>
        <w:tc>
          <w:tcPr>
            <w:tcW w:w="7280" w:type="dxa"/>
          </w:tcPr>
          <w:p w14:paraId="5A77184C" w14:textId="77777777" w:rsidR="00C65C3E" w:rsidRPr="00FB14F1" w:rsidRDefault="00CB27D9" w:rsidP="00085EBE">
            <w:pPr>
              <w:pStyle w:val="TableBody"/>
              <w:jc w:val="left"/>
            </w:pPr>
            <w:r w:rsidRPr="00FB14F1">
              <w:t>Centre Sud and Centre Regions</w:t>
            </w:r>
          </w:p>
          <w:p w14:paraId="09029210" w14:textId="717F33E1" w:rsidR="00CB27D9" w:rsidRPr="007C381C" w:rsidRDefault="00CB27D9" w:rsidP="00085EBE">
            <w:pPr>
              <w:pStyle w:val="TableBody"/>
              <w:jc w:val="left"/>
            </w:pPr>
            <w:r w:rsidRPr="007C381C">
              <w:t>Kombissini and Boulmiougou Health Districts</w:t>
            </w:r>
          </w:p>
        </w:tc>
      </w:tr>
      <w:tr w:rsidR="00C65C3E" w:rsidRPr="00CF5B6D" w14:paraId="7420CD71" w14:textId="77777777" w:rsidTr="00E338B3">
        <w:tc>
          <w:tcPr>
            <w:tcW w:w="2070" w:type="dxa"/>
            <w:gridSpan w:val="2"/>
          </w:tcPr>
          <w:p w14:paraId="11AC5A26" w14:textId="620DD652" w:rsidR="00C65C3E" w:rsidRPr="00CB27D9" w:rsidRDefault="00C65C3E" w:rsidP="00CB27D9">
            <w:pPr>
              <w:pStyle w:val="TableSubtitles"/>
              <w:rPr>
                <w:sz w:val="22"/>
                <w:szCs w:val="22"/>
              </w:rPr>
            </w:pPr>
            <w:r w:rsidRPr="00CB27D9">
              <w:rPr>
                <w:sz w:val="22"/>
                <w:szCs w:val="22"/>
              </w:rPr>
              <w:t>Team</w:t>
            </w:r>
          </w:p>
        </w:tc>
        <w:tc>
          <w:tcPr>
            <w:tcW w:w="7280" w:type="dxa"/>
          </w:tcPr>
          <w:p w14:paraId="1C0B2F43" w14:textId="24628A8F" w:rsidR="00C65C3E" w:rsidRPr="007C381C" w:rsidRDefault="007C381C" w:rsidP="00085EBE">
            <w:pPr>
              <w:pStyle w:val="TableBody"/>
              <w:jc w:val="left"/>
            </w:pPr>
            <w:r w:rsidRPr="007C381C">
              <w:t>Ardjouma Pagabelem/NMP, Mary Kante/PMI VectorLink, Jean Eric Ouedraogo/PMI VectorLink consultant</w:t>
            </w:r>
          </w:p>
        </w:tc>
      </w:tr>
      <w:tr w:rsidR="007C381C" w14:paraId="347F7AC1" w14:textId="77777777" w:rsidTr="0011484F">
        <w:tc>
          <w:tcPr>
            <w:tcW w:w="720" w:type="dxa"/>
            <w:vMerge w:val="restart"/>
            <w:textDirection w:val="btLr"/>
            <w:vAlign w:val="center"/>
          </w:tcPr>
          <w:p w14:paraId="21FF6650" w14:textId="38CF8EA2" w:rsidR="007C381C" w:rsidRPr="00085EBE" w:rsidRDefault="007C381C" w:rsidP="00FB14F1">
            <w:pPr>
              <w:pStyle w:val="TableBody"/>
              <w:rPr>
                <w:b/>
                <w:bCs/>
              </w:rPr>
            </w:pPr>
            <w:r w:rsidRPr="00085EBE">
              <w:rPr>
                <w:b/>
                <w:bCs/>
              </w:rPr>
              <w:t>Interviews</w:t>
            </w:r>
          </w:p>
        </w:tc>
        <w:tc>
          <w:tcPr>
            <w:tcW w:w="1350" w:type="dxa"/>
            <w:vAlign w:val="center"/>
          </w:tcPr>
          <w:p w14:paraId="16716487" w14:textId="712EE32F" w:rsidR="007C381C" w:rsidRPr="00085EBE" w:rsidRDefault="007C381C" w:rsidP="0011484F">
            <w:pPr>
              <w:pStyle w:val="TableBody"/>
              <w:rPr>
                <w:b/>
                <w:bCs/>
              </w:rPr>
            </w:pPr>
            <w:r w:rsidRPr="00085EBE">
              <w:rPr>
                <w:b/>
                <w:bCs/>
              </w:rPr>
              <w:t>Central</w:t>
            </w:r>
          </w:p>
        </w:tc>
        <w:tc>
          <w:tcPr>
            <w:tcW w:w="7280" w:type="dxa"/>
          </w:tcPr>
          <w:p w14:paraId="3055910B" w14:textId="1F29066C" w:rsidR="007C381C" w:rsidRPr="007C381C" w:rsidRDefault="007C381C" w:rsidP="00E3773F">
            <w:pPr>
              <w:pStyle w:val="1-DocText"/>
              <w:spacing w:before="0" w:after="0"/>
            </w:pPr>
            <w:r w:rsidRPr="007C381C">
              <w:t xml:space="preserve">Introduction meeting led by Dr Yacouba </w:t>
            </w:r>
            <w:proofErr w:type="spellStart"/>
            <w:r w:rsidRPr="007C381C">
              <w:t>Savadogo</w:t>
            </w:r>
            <w:proofErr w:type="spellEnd"/>
            <w:r w:rsidRPr="007C381C">
              <w:t xml:space="preserve"> (NMP) </w:t>
            </w:r>
          </w:p>
          <w:p w14:paraId="689197F5" w14:textId="5DAA202C" w:rsidR="007C381C" w:rsidRPr="007C381C" w:rsidRDefault="007C381C" w:rsidP="00E3773F">
            <w:pPr>
              <w:pStyle w:val="1-DocText"/>
              <w:spacing w:before="0" w:after="0"/>
            </w:pPr>
            <w:r w:rsidRPr="007C381C">
              <w:t xml:space="preserve">Interviews (11) with: Directorate for the Protection of the Health of the Population (DPSP), Directorate of Family Health (DSF), Directorate of Prevention by Vaccination (DPV), Direction of the Promotion of Health Education (DPES), NMP, Centrale </w:t>
            </w:r>
            <w:proofErr w:type="spellStart"/>
            <w:r w:rsidRPr="007C381C">
              <w:t>d’Achat</w:t>
            </w:r>
            <w:proofErr w:type="spellEnd"/>
            <w:r w:rsidRPr="007C381C">
              <w:t xml:space="preserve"> des </w:t>
            </w:r>
            <w:proofErr w:type="spellStart"/>
            <w:r w:rsidRPr="007C381C">
              <w:t>Médicaments</w:t>
            </w:r>
            <w:proofErr w:type="spellEnd"/>
            <w:r w:rsidRPr="007C381C">
              <w:t xml:space="preserve"> </w:t>
            </w:r>
            <w:proofErr w:type="spellStart"/>
            <w:r w:rsidRPr="007C381C">
              <w:t>Essentiels</w:t>
            </w:r>
            <w:proofErr w:type="spellEnd"/>
            <w:r w:rsidRPr="007C381C">
              <w:t xml:space="preserve"> </w:t>
            </w:r>
            <w:proofErr w:type="spellStart"/>
            <w:r w:rsidRPr="007C381C">
              <w:t>Génériques</w:t>
            </w:r>
            <w:proofErr w:type="spellEnd"/>
            <w:r w:rsidRPr="007C381C">
              <w:t xml:space="preserve"> et des </w:t>
            </w:r>
            <w:proofErr w:type="spellStart"/>
            <w:r w:rsidRPr="007C381C">
              <w:t>Consommables</w:t>
            </w:r>
            <w:proofErr w:type="spellEnd"/>
            <w:r w:rsidRPr="007C381C">
              <w:t xml:space="preserve"> </w:t>
            </w:r>
            <w:proofErr w:type="spellStart"/>
            <w:r w:rsidRPr="007C381C">
              <w:t>Médicaux</w:t>
            </w:r>
            <w:proofErr w:type="spellEnd"/>
            <w:r w:rsidRPr="007C381C">
              <w:t xml:space="preserve"> (CAMEG), World Health Organization (WHO), Global Health Supply Chain – Procurement Supply Management (GHSC-PSM), Jhpiego/Improving Malaria Care (IMC), Project to Support Health Development (PADS), </w:t>
            </w:r>
            <w:proofErr w:type="spellStart"/>
            <w:r w:rsidRPr="007C381C">
              <w:t>Progettomondo</w:t>
            </w:r>
            <w:proofErr w:type="spellEnd"/>
          </w:p>
        </w:tc>
      </w:tr>
      <w:tr w:rsidR="007C381C" w14:paraId="503DABC3" w14:textId="77777777" w:rsidTr="0011484F">
        <w:tc>
          <w:tcPr>
            <w:tcW w:w="720" w:type="dxa"/>
            <w:vMerge/>
          </w:tcPr>
          <w:p w14:paraId="0C6DD6E3" w14:textId="77777777" w:rsidR="007C381C" w:rsidRPr="00085EBE" w:rsidRDefault="007C381C" w:rsidP="00FB14F1">
            <w:pPr>
              <w:pStyle w:val="TableBody"/>
              <w:rPr>
                <w:b/>
                <w:bCs/>
              </w:rPr>
            </w:pPr>
          </w:p>
        </w:tc>
        <w:tc>
          <w:tcPr>
            <w:tcW w:w="1350" w:type="dxa"/>
            <w:vAlign w:val="center"/>
          </w:tcPr>
          <w:p w14:paraId="6CD96C0C" w14:textId="4E8FFD78" w:rsidR="007C381C" w:rsidRPr="00085EBE" w:rsidRDefault="007C381C" w:rsidP="0011484F">
            <w:pPr>
              <w:pStyle w:val="TableBody"/>
              <w:rPr>
                <w:b/>
                <w:bCs/>
              </w:rPr>
            </w:pPr>
            <w:r w:rsidRPr="00085EBE">
              <w:rPr>
                <w:b/>
                <w:bCs/>
              </w:rPr>
              <w:t>Region / District</w:t>
            </w:r>
          </w:p>
        </w:tc>
        <w:tc>
          <w:tcPr>
            <w:tcW w:w="7280" w:type="dxa"/>
          </w:tcPr>
          <w:p w14:paraId="4A3F0AD7" w14:textId="77777777" w:rsidR="00B10A9C" w:rsidRPr="00B10A9C" w:rsidRDefault="00B10A9C" w:rsidP="00E3773F">
            <w:pPr>
              <w:pStyle w:val="1-DocText"/>
              <w:spacing w:before="0" w:after="0"/>
            </w:pPr>
            <w:r w:rsidRPr="00B10A9C">
              <w:t xml:space="preserve">Interviews (5) with: </w:t>
            </w:r>
          </w:p>
          <w:p w14:paraId="6F8FB2BE" w14:textId="71B76CE4" w:rsidR="00B10A9C" w:rsidRPr="00B10A9C" w:rsidRDefault="00B10A9C" w:rsidP="00E3773F">
            <w:pPr>
              <w:pStyle w:val="1-DocText"/>
              <w:numPr>
                <w:ilvl w:val="0"/>
                <w:numId w:val="34"/>
              </w:numPr>
              <w:spacing w:before="0" w:after="0"/>
            </w:pPr>
            <w:r w:rsidRPr="00B10A9C">
              <w:t>Director, Regional Health Direction (DRS)</w:t>
            </w:r>
          </w:p>
          <w:p w14:paraId="76C91EA7" w14:textId="24D96C94" w:rsidR="00B10A9C" w:rsidRPr="00B10A9C" w:rsidRDefault="00B10A9C" w:rsidP="00E3773F">
            <w:pPr>
              <w:pStyle w:val="1-DocText"/>
              <w:numPr>
                <w:ilvl w:val="0"/>
                <w:numId w:val="34"/>
              </w:numPr>
              <w:spacing w:before="0" w:after="0"/>
            </w:pPr>
            <w:r w:rsidRPr="00B10A9C">
              <w:t xml:space="preserve">Vaccination and Reproductive Health leads for the Centre Sud region </w:t>
            </w:r>
          </w:p>
          <w:p w14:paraId="1CA9E1C9" w14:textId="44272615" w:rsidR="00B10A9C" w:rsidRPr="00B10A9C" w:rsidRDefault="00B10A9C" w:rsidP="00E3773F">
            <w:pPr>
              <w:pStyle w:val="1-DocText"/>
              <w:numPr>
                <w:ilvl w:val="0"/>
                <w:numId w:val="34"/>
              </w:numPr>
              <w:spacing w:before="0" w:after="0"/>
            </w:pPr>
            <w:r w:rsidRPr="00B10A9C">
              <w:t>Fight against diseases service (SLM) for the Centre region</w:t>
            </w:r>
          </w:p>
          <w:p w14:paraId="3C478BE6" w14:textId="6219F8D6" w:rsidR="00B10A9C" w:rsidRPr="00B10A9C" w:rsidRDefault="00B10A9C" w:rsidP="00E3773F">
            <w:pPr>
              <w:pStyle w:val="1-DocText"/>
              <w:numPr>
                <w:ilvl w:val="0"/>
                <w:numId w:val="34"/>
              </w:numPr>
              <w:spacing w:before="0" w:after="0"/>
            </w:pPr>
            <w:r w:rsidRPr="00B10A9C">
              <w:t xml:space="preserve">District health team for the </w:t>
            </w:r>
            <w:proofErr w:type="spellStart"/>
            <w:r w:rsidRPr="00B10A9C">
              <w:t>Kombissiri</w:t>
            </w:r>
            <w:proofErr w:type="spellEnd"/>
            <w:r w:rsidRPr="00B10A9C">
              <w:t xml:space="preserve"> Health Dis</w:t>
            </w:r>
            <w:r w:rsidR="00572670">
              <w:t>t</w:t>
            </w:r>
            <w:r w:rsidRPr="00B10A9C">
              <w:t xml:space="preserve">rict </w:t>
            </w:r>
          </w:p>
          <w:p w14:paraId="3C923666" w14:textId="610E0A13" w:rsidR="007C381C" w:rsidRPr="007C381C" w:rsidRDefault="00B10A9C" w:rsidP="00E3773F">
            <w:pPr>
              <w:pStyle w:val="1-DocText"/>
              <w:numPr>
                <w:ilvl w:val="0"/>
                <w:numId w:val="34"/>
              </w:numPr>
              <w:spacing w:before="0" w:after="0"/>
            </w:pPr>
            <w:r w:rsidRPr="00B10A9C">
              <w:t xml:space="preserve">District health team for the </w:t>
            </w:r>
            <w:proofErr w:type="spellStart"/>
            <w:r w:rsidRPr="00B10A9C">
              <w:t>Boulmiougou</w:t>
            </w:r>
            <w:proofErr w:type="spellEnd"/>
            <w:r w:rsidRPr="00B10A9C">
              <w:t xml:space="preserve"> Health </w:t>
            </w:r>
            <w:proofErr w:type="spellStart"/>
            <w:r w:rsidRPr="00B10A9C">
              <w:t>Disrict</w:t>
            </w:r>
            <w:proofErr w:type="spellEnd"/>
          </w:p>
        </w:tc>
      </w:tr>
      <w:tr w:rsidR="007C381C" w14:paraId="4E1C97F3" w14:textId="77777777" w:rsidTr="0011484F">
        <w:tc>
          <w:tcPr>
            <w:tcW w:w="720" w:type="dxa"/>
            <w:vMerge/>
          </w:tcPr>
          <w:p w14:paraId="487A71B4" w14:textId="77777777" w:rsidR="007C381C" w:rsidRPr="00085EBE" w:rsidRDefault="007C381C" w:rsidP="00FB14F1">
            <w:pPr>
              <w:pStyle w:val="TableBody"/>
              <w:rPr>
                <w:b/>
                <w:bCs/>
              </w:rPr>
            </w:pPr>
          </w:p>
        </w:tc>
        <w:tc>
          <w:tcPr>
            <w:tcW w:w="1350" w:type="dxa"/>
            <w:vAlign w:val="center"/>
          </w:tcPr>
          <w:p w14:paraId="1C68DFC8" w14:textId="1ECFB3E0" w:rsidR="007C381C" w:rsidRPr="00085EBE" w:rsidRDefault="007C381C" w:rsidP="0011484F">
            <w:pPr>
              <w:pStyle w:val="TableBody"/>
              <w:rPr>
                <w:b/>
                <w:bCs/>
              </w:rPr>
            </w:pPr>
            <w:r w:rsidRPr="00085EBE">
              <w:rPr>
                <w:b/>
                <w:bCs/>
              </w:rPr>
              <w:t>Facility level</w:t>
            </w:r>
          </w:p>
        </w:tc>
        <w:tc>
          <w:tcPr>
            <w:tcW w:w="7280" w:type="dxa"/>
          </w:tcPr>
          <w:p w14:paraId="66EC35B0" w14:textId="77777777" w:rsidR="00B10A9C" w:rsidRPr="00B10A9C" w:rsidRDefault="00B10A9C" w:rsidP="00E3773F">
            <w:pPr>
              <w:pStyle w:val="1-DocText"/>
              <w:spacing w:before="0" w:after="0"/>
            </w:pPr>
            <w:r w:rsidRPr="00B10A9C">
              <w:t xml:space="preserve">Interviews with the health center director (ICP) and health center teams in </w:t>
            </w:r>
            <w:proofErr w:type="spellStart"/>
            <w:r w:rsidRPr="00B10A9C">
              <w:t>Doulougou</w:t>
            </w:r>
            <w:proofErr w:type="spellEnd"/>
            <w:r w:rsidRPr="00B10A9C">
              <w:t xml:space="preserve">, </w:t>
            </w:r>
            <w:proofErr w:type="spellStart"/>
            <w:r w:rsidRPr="00B10A9C">
              <w:t>Gana</w:t>
            </w:r>
            <w:proofErr w:type="spellEnd"/>
            <w:r w:rsidRPr="00B10A9C">
              <w:t xml:space="preserve">, et </w:t>
            </w:r>
            <w:proofErr w:type="spellStart"/>
            <w:r w:rsidRPr="00B10A9C">
              <w:t>Masgo</w:t>
            </w:r>
            <w:proofErr w:type="spellEnd"/>
            <w:r w:rsidRPr="00B10A9C">
              <w:t xml:space="preserve">; and with the President of the health management committee (COGES) and the community health worker (CHW) in </w:t>
            </w:r>
            <w:proofErr w:type="spellStart"/>
            <w:r w:rsidRPr="00B10A9C">
              <w:t>Masgo</w:t>
            </w:r>
            <w:proofErr w:type="spellEnd"/>
            <w:r w:rsidRPr="00B10A9C">
              <w:t xml:space="preserve"> (</w:t>
            </w:r>
            <w:proofErr w:type="spellStart"/>
            <w:r w:rsidRPr="00B10A9C">
              <w:t>Kombissiri</w:t>
            </w:r>
            <w:proofErr w:type="spellEnd"/>
            <w:r w:rsidRPr="00B10A9C">
              <w:t>)</w:t>
            </w:r>
          </w:p>
          <w:p w14:paraId="0948EF9A" w14:textId="0ED48160" w:rsidR="007C381C" w:rsidRPr="007C381C" w:rsidRDefault="00B10A9C" w:rsidP="00E3773F">
            <w:pPr>
              <w:pStyle w:val="1-DocText"/>
              <w:spacing w:before="0" w:after="0"/>
            </w:pPr>
            <w:r w:rsidRPr="00B10A9C">
              <w:t xml:space="preserve">Interviews with the ICP of </w:t>
            </w:r>
            <w:proofErr w:type="spellStart"/>
            <w:r w:rsidRPr="00B10A9C">
              <w:t>Sandogo</w:t>
            </w:r>
            <w:proofErr w:type="spellEnd"/>
            <w:r w:rsidRPr="00B10A9C">
              <w:t xml:space="preserve"> and the ICP of Sector 19 (</w:t>
            </w:r>
            <w:proofErr w:type="spellStart"/>
            <w:r w:rsidRPr="00B10A9C">
              <w:t>Boulmiougou</w:t>
            </w:r>
            <w:proofErr w:type="spellEnd"/>
            <w:r w:rsidRPr="00B10A9C">
              <w:t>)</w:t>
            </w:r>
          </w:p>
        </w:tc>
      </w:tr>
    </w:tbl>
    <w:p w14:paraId="08F8B0E9" w14:textId="77777777" w:rsidR="000074EA" w:rsidRDefault="000074EA" w:rsidP="000074EA"/>
    <w:p w14:paraId="5C7EB68D" w14:textId="29E6D2F9" w:rsidR="00052325" w:rsidRPr="00C778E9" w:rsidRDefault="00052325" w:rsidP="00052325">
      <w:pPr>
        <w:pStyle w:val="Heading3"/>
      </w:pPr>
      <w:bookmarkStart w:id="41" w:name="_Toc43130670"/>
      <w:r>
        <w:t xml:space="preserve">Step Two: Identify </w:t>
      </w:r>
      <w:r w:rsidR="00450733">
        <w:t>Assessment Team</w:t>
      </w:r>
      <w:bookmarkEnd w:id="41"/>
      <w:r w:rsidR="00450733">
        <w:t xml:space="preserve"> </w:t>
      </w:r>
    </w:p>
    <w:p w14:paraId="15BF6C08" w14:textId="602E38A9" w:rsidR="00F40C2A" w:rsidRPr="002B00A7" w:rsidRDefault="00F40C2A" w:rsidP="002B00A7">
      <w:pPr>
        <w:spacing w:before="120" w:after="120"/>
        <w:jc w:val="both"/>
        <w:rPr>
          <w:rFonts w:ascii="Garamond" w:hAnsi="Garamond" w:cs="Calibri"/>
          <w:sz w:val="22"/>
          <w:szCs w:val="22"/>
        </w:rPr>
      </w:pPr>
      <w:r w:rsidRPr="002B00A7">
        <w:rPr>
          <w:rFonts w:ascii="Garamond" w:hAnsi="Garamond" w:cs="Calibri"/>
          <w:sz w:val="22"/>
          <w:szCs w:val="22"/>
        </w:rPr>
        <w:t xml:space="preserve">This evaluation uses a </w:t>
      </w:r>
      <w:r w:rsidRPr="002B00A7">
        <w:rPr>
          <w:rFonts w:ascii="Garamond" w:hAnsi="Garamond" w:cs="Calibri"/>
          <w:b/>
          <w:sz w:val="22"/>
          <w:szCs w:val="22"/>
        </w:rPr>
        <w:t>team approach</w:t>
      </w:r>
      <w:r w:rsidR="005F3435" w:rsidRPr="002B00A7">
        <w:rPr>
          <w:rFonts w:ascii="Garamond" w:hAnsi="Garamond" w:cs="Calibri"/>
          <w:sz w:val="22"/>
          <w:szCs w:val="22"/>
        </w:rPr>
        <w:t xml:space="preserve">, with two teams conducting field visits and </w:t>
      </w:r>
      <w:r w:rsidR="0022182F" w:rsidRPr="002B00A7">
        <w:rPr>
          <w:rFonts w:ascii="Garamond" w:hAnsi="Garamond" w:cs="Calibri"/>
          <w:sz w:val="22"/>
          <w:szCs w:val="22"/>
        </w:rPr>
        <w:t>KIIs</w:t>
      </w:r>
      <w:r w:rsidR="00BC3DE1" w:rsidRPr="002B00A7">
        <w:rPr>
          <w:rFonts w:ascii="Garamond" w:hAnsi="Garamond" w:cs="Calibri"/>
          <w:sz w:val="22"/>
          <w:szCs w:val="22"/>
        </w:rPr>
        <w:t xml:space="preserve">. </w:t>
      </w:r>
      <w:r w:rsidR="00F17FF0" w:rsidRPr="002B00A7">
        <w:rPr>
          <w:rFonts w:ascii="Garamond" w:hAnsi="Garamond" w:cs="Calibri"/>
          <w:sz w:val="22"/>
          <w:szCs w:val="22"/>
        </w:rPr>
        <w:t xml:space="preserve"> </w:t>
      </w:r>
      <w:r w:rsidR="005F3435" w:rsidRPr="002B00A7">
        <w:rPr>
          <w:rFonts w:ascii="Garamond" w:hAnsi="Garamond" w:cs="Calibri"/>
          <w:sz w:val="22"/>
          <w:szCs w:val="22"/>
        </w:rPr>
        <w:t>Team members</w:t>
      </w:r>
      <w:r w:rsidR="001C5304" w:rsidRPr="002B00A7">
        <w:rPr>
          <w:rFonts w:ascii="Garamond" w:hAnsi="Garamond" w:cs="Calibri"/>
          <w:sz w:val="22"/>
          <w:szCs w:val="22"/>
        </w:rPr>
        <w:t xml:space="preserve"> will comprise of available staff from the NMP and partners and examples are given </w:t>
      </w:r>
      <w:r w:rsidR="00572670" w:rsidRPr="002B00A7">
        <w:rPr>
          <w:rFonts w:ascii="Garamond" w:hAnsi="Garamond" w:cs="Calibri"/>
          <w:sz w:val="22"/>
          <w:szCs w:val="22"/>
        </w:rPr>
        <w:t>below</w:t>
      </w:r>
      <w:r w:rsidRPr="002B00A7">
        <w:rPr>
          <w:rFonts w:ascii="Garamond" w:hAnsi="Garamond" w:cs="Calibri"/>
          <w:sz w:val="22"/>
          <w:szCs w:val="22"/>
        </w:rPr>
        <w:t xml:space="preserve">: </w:t>
      </w:r>
    </w:p>
    <w:p w14:paraId="0DF5D5A6" w14:textId="03CC7D2C" w:rsidR="005F3435" w:rsidRPr="002B00A7" w:rsidRDefault="00F40C2A" w:rsidP="002B00A7">
      <w:pPr>
        <w:pStyle w:val="1-Bullet"/>
        <w:rPr>
          <w:b w:val="0"/>
          <w:bCs/>
          <w:szCs w:val="22"/>
        </w:rPr>
      </w:pPr>
      <w:r w:rsidRPr="002B00A7">
        <w:rPr>
          <w:b w:val="0"/>
          <w:bCs/>
          <w:szCs w:val="22"/>
        </w:rPr>
        <w:t xml:space="preserve">Two team leads, </w:t>
      </w:r>
      <w:r w:rsidR="001C5304" w:rsidRPr="002B00A7">
        <w:rPr>
          <w:b w:val="0"/>
          <w:bCs/>
          <w:szCs w:val="22"/>
        </w:rPr>
        <w:t xml:space="preserve">for </w:t>
      </w:r>
      <w:proofErr w:type="gramStart"/>
      <w:r w:rsidR="001C5304" w:rsidRPr="002B00A7">
        <w:rPr>
          <w:b w:val="0"/>
          <w:bCs/>
          <w:szCs w:val="22"/>
        </w:rPr>
        <w:t xml:space="preserve">example </w:t>
      </w:r>
      <w:r w:rsidRPr="002B00A7">
        <w:rPr>
          <w:b w:val="0"/>
          <w:bCs/>
          <w:szCs w:val="22"/>
        </w:rPr>
        <w:t>,</w:t>
      </w:r>
      <w:proofErr w:type="gramEnd"/>
      <w:r w:rsidRPr="002B00A7">
        <w:rPr>
          <w:b w:val="0"/>
          <w:bCs/>
          <w:szCs w:val="22"/>
        </w:rPr>
        <w:t xml:space="preserve"> </w:t>
      </w:r>
      <w:r w:rsidR="005F3435" w:rsidRPr="002B00A7">
        <w:rPr>
          <w:b w:val="0"/>
          <w:bCs/>
          <w:szCs w:val="22"/>
        </w:rPr>
        <w:t>ITN</w:t>
      </w:r>
      <w:r w:rsidRPr="002B00A7">
        <w:rPr>
          <w:b w:val="0"/>
          <w:bCs/>
          <w:szCs w:val="22"/>
        </w:rPr>
        <w:t xml:space="preserve"> distribution specialist and research manager, </w:t>
      </w:r>
      <w:r w:rsidR="001C5304" w:rsidRPr="002B00A7">
        <w:rPr>
          <w:b w:val="0"/>
          <w:bCs/>
          <w:szCs w:val="22"/>
        </w:rPr>
        <w:t xml:space="preserve">or other staff from other partner organizations </w:t>
      </w:r>
      <w:r w:rsidRPr="002B00A7">
        <w:rPr>
          <w:b w:val="0"/>
          <w:bCs/>
          <w:szCs w:val="22"/>
        </w:rPr>
        <w:t xml:space="preserve">to jointly lead assessment development, and oversee </w:t>
      </w:r>
      <w:r w:rsidR="005F3435" w:rsidRPr="002B00A7">
        <w:rPr>
          <w:b w:val="0"/>
          <w:bCs/>
          <w:szCs w:val="22"/>
        </w:rPr>
        <w:t>field</w:t>
      </w:r>
      <w:r w:rsidRPr="002B00A7">
        <w:rPr>
          <w:b w:val="0"/>
          <w:bCs/>
          <w:szCs w:val="22"/>
        </w:rPr>
        <w:t xml:space="preserve"> work (in two teams) and report writing.</w:t>
      </w:r>
    </w:p>
    <w:p w14:paraId="60C8C65F" w14:textId="582969C6" w:rsidR="005F3435" w:rsidRPr="002B00A7" w:rsidRDefault="00F40C2A" w:rsidP="002B00A7">
      <w:pPr>
        <w:pStyle w:val="1-Bullet"/>
        <w:rPr>
          <w:b w:val="0"/>
          <w:bCs/>
          <w:szCs w:val="22"/>
        </w:rPr>
      </w:pPr>
      <w:r w:rsidRPr="002B00A7">
        <w:rPr>
          <w:b w:val="0"/>
          <w:bCs/>
          <w:szCs w:val="22"/>
        </w:rPr>
        <w:t>In-country field support</w:t>
      </w:r>
      <w:r w:rsidR="005F3435" w:rsidRPr="002B00A7">
        <w:rPr>
          <w:b w:val="0"/>
          <w:bCs/>
          <w:szCs w:val="22"/>
        </w:rPr>
        <w:t xml:space="preserve">, e.g., </w:t>
      </w:r>
      <w:r w:rsidRPr="002B00A7">
        <w:rPr>
          <w:b w:val="0"/>
          <w:bCs/>
          <w:szCs w:val="22"/>
        </w:rPr>
        <w:t>two research assistants</w:t>
      </w:r>
      <w:r w:rsidR="005F3435" w:rsidRPr="002B00A7">
        <w:rPr>
          <w:b w:val="0"/>
          <w:bCs/>
          <w:szCs w:val="22"/>
        </w:rPr>
        <w:t xml:space="preserve"> to accompany field work and provide support for note-taking and daily compilation of notes and organization of meetings for review and analysis</w:t>
      </w:r>
      <w:r w:rsidR="00BC3DE1" w:rsidRPr="002B00A7">
        <w:rPr>
          <w:b w:val="0"/>
          <w:bCs/>
          <w:szCs w:val="22"/>
        </w:rPr>
        <w:t>.</w:t>
      </w:r>
    </w:p>
    <w:p w14:paraId="2407C82A" w14:textId="2971D2C2" w:rsidR="005F3435" w:rsidRPr="002B00A7" w:rsidRDefault="005F3435" w:rsidP="002B00A7">
      <w:pPr>
        <w:pStyle w:val="1-Bullet"/>
        <w:rPr>
          <w:b w:val="0"/>
          <w:bCs/>
          <w:szCs w:val="22"/>
        </w:rPr>
      </w:pPr>
      <w:r w:rsidRPr="002B00A7">
        <w:rPr>
          <w:b w:val="0"/>
          <w:bCs/>
          <w:szCs w:val="22"/>
        </w:rPr>
        <w:t>Research advisor to b</w:t>
      </w:r>
      <w:r w:rsidR="00F40C2A" w:rsidRPr="002B00A7">
        <w:rPr>
          <w:b w:val="0"/>
          <w:bCs/>
          <w:szCs w:val="22"/>
        </w:rPr>
        <w:t>ack-stop quality assurance of the evaluation approach and</w:t>
      </w:r>
      <w:r w:rsidR="004F66DA" w:rsidRPr="002B00A7">
        <w:rPr>
          <w:b w:val="0"/>
          <w:bCs/>
          <w:szCs w:val="22"/>
        </w:rPr>
        <w:t xml:space="preserve"> a senior epidemiologist with experience in ITN evaluations for reporting. </w:t>
      </w:r>
    </w:p>
    <w:p w14:paraId="76F492F3" w14:textId="5824BCE6" w:rsidR="00052325" w:rsidRPr="002B00A7" w:rsidRDefault="00BA0C74" w:rsidP="002B00A7">
      <w:pPr>
        <w:pStyle w:val="1-Bullet"/>
        <w:rPr>
          <w:b w:val="0"/>
          <w:bCs/>
          <w:szCs w:val="22"/>
        </w:rPr>
      </w:pPr>
      <w:r w:rsidRPr="002B00A7">
        <w:rPr>
          <w:b w:val="0"/>
          <w:bCs/>
          <w:szCs w:val="22"/>
        </w:rPr>
        <w:lastRenderedPageBreak/>
        <w:t>NMP</w:t>
      </w:r>
      <w:r w:rsidR="00F40C2A" w:rsidRPr="002B00A7">
        <w:rPr>
          <w:b w:val="0"/>
          <w:bCs/>
          <w:szCs w:val="22"/>
        </w:rPr>
        <w:t xml:space="preserve"> representatives</w:t>
      </w:r>
      <w:r w:rsidR="005F3435" w:rsidRPr="002B00A7">
        <w:rPr>
          <w:b w:val="0"/>
          <w:bCs/>
          <w:szCs w:val="22"/>
        </w:rPr>
        <w:t>, to</w:t>
      </w:r>
      <w:r w:rsidR="00F40C2A" w:rsidRPr="002B00A7">
        <w:rPr>
          <w:b w:val="0"/>
          <w:bCs/>
          <w:szCs w:val="22"/>
        </w:rPr>
        <w:t xml:space="preserve"> </w:t>
      </w:r>
      <w:r w:rsidR="005F3435" w:rsidRPr="002B00A7">
        <w:rPr>
          <w:b w:val="0"/>
          <w:bCs/>
          <w:szCs w:val="22"/>
        </w:rPr>
        <w:t xml:space="preserve">accompany and oversee the field work; </w:t>
      </w:r>
      <w:r w:rsidR="00F40C2A" w:rsidRPr="002B00A7">
        <w:rPr>
          <w:b w:val="0"/>
          <w:bCs/>
          <w:szCs w:val="22"/>
        </w:rPr>
        <w:t xml:space="preserve">provide oversight and inputs during key steps of the process. </w:t>
      </w:r>
    </w:p>
    <w:p w14:paraId="2327B49B" w14:textId="40B2B0AA" w:rsidR="00F40C2A" w:rsidRDefault="00C91C0D" w:rsidP="00F40C2A">
      <w:pPr>
        <w:pStyle w:val="Heading3"/>
      </w:pPr>
      <w:bookmarkStart w:id="42" w:name="_Toc43130671"/>
      <w:r>
        <w:t xml:space="preserve">Step Three: </w:t>
      </w:r>
      <w:r w:rsidR="007D15A4">
        <w:t>Desk Review</w:t>
      </w:r>
      <w:bookmarkEnd w:id="42"/>
      <w:r w:rsidR="007D15A4">
        <w:t xml:space="preserve"> </w:t>
      </w:r>
    </w:p>
    <w:p w14:paraId="0EC31BF3" w14:textId="0C105903" w:rsidR="00CB2448" w:rsidRPr="002B00A7" w:rsidRDefault="00BB79A7" w:rsidP="002B00A7">
      <w:pPr>
        <w:pBdr>
          <w:top w:val="nil"/>
          <w:left w:val="nil"/>
          <w:bottom w:val="nil"/>
          <w:right w:val="nil"/>
          <w:between w:val="nil"/>
        </w:pBdr>
        <w:spacing w:before="120" w:after="120"/>
        <w:jc w:val="both"/>
        <w:rPr>
          <w:rFonts w:ascii="Garamond" w:hAnsi="Garamond" w:cs="Calibri"/>
          <w:color w:val="000000"/>
          <w:sz w:val="22"/>
          <w:szCs w:val="22"/>
        </w:rPr>
      </w:pPr>
      <w:r w:rsidRPr="002B00A7">
        <w:rPr>
          <w:rFonts w:ascii="Garamond" w:hAnsi="Garamond" w:cs="Calibri"/>
          <w:color w:val="000000"/>
          <w:sz w:val="22"/>
          <w:szCs w:val="22"/>
        </w:rPr>
        <w:t xml:space="preserve">The assessment team leads </w:t>
      </w:r>
      <w:r w:rsidR="00CB2448" w:rsidRPr="002B00A7">
        <w:rPr>
          <w:rFonts w:ascii="Garamond" w:hAnsi="Garamond" w:cs="Calibri"/>
          <w:color w:val="000000"/>
          <w:sz w:val="22"/>
          <w:szCs w:val="22"/>
        </w:rPr>
        <w:t>ensure that all team members have access to and review relevant</w:t>
      </w:r>
      <w:r w:rsidR="00E4426F" w:rsidRPr="002B00A7">
        <w:rPr>
          <w:rFonts w:ascii="Garamond" w:hAnsi="Garamond" w:cs="Calibri"/>
          <w:color w:val="000000"/>
          <w:sz w:val="22"/>
          <w:szCs w:val="22"/>
        </w:rPr>
        <w:t xml:space="preserve"> background document</w:t>
      </w:r>
      <w:r w:rsidR="00CB2448" w:rsidRPr="002B00A7">
        <w:rPr>
          <w:rFonts w:ascii="Garamond" w:hAnsi="Garamond" w:cs="Calibri"/>
          <w:color w:val="000000"/>
          <w:sz w:val="22"/>
          <w:szCs w:val="22"/>
        </w:rPr>
        <w:t xml:space="preserve">s. </w:t>
      </w:r>
      <w:r w:rsidR="00F17FF0" w:rsidRPr="002B00A7">
        <w:rPr>
          <w:rFonts w:ascii="Garamond" w:hAnsi="Garamond" w:cs="Calibri"/>
          <w:color w:val="000000"/>
          <w:sz w:val="22"/>
          <w:szCs w:val="22"/>
        </w:rPr>
        <w:t xml:space="preserve"> </w:t>
      </w:r>
      <w:r w:rsidR="00CB2448" w:rsidRPr="002B00A7">
        <w:rPr>
          <w:rFonts w:ascii="Garamond" w:hAnsi="Garamond" w:cs="Calibri"/>
          <w:color w:val="000000"/>
          <w:sz w:val="22"/>
          <w:szCs w:val="22"/>
        </w:rPr>
        <w:t xml:space="preserve">Each team member can be tasked to review one or more of the documents and to develop summary notes that can be shared via e-mail or a shared on-line </w:t>
      </w:r>
      <w:r w:rsidR="00A63616" w:rsidRPr="002B00A7">
        <w:rPr>
          <w:rFonts w:ascii="Garamond" w:hAnsi="Garamond" w:cs="Calibri"/>
          <w:color w:val="000000"/>
          <w:sz w:val="22"/>
          <w:szCs w:val="22"/>
        </w:rPr>
        <w:t xml:space="preserve">drive </w:t>
      </w:r>
      <w:r w:rsidR="00CB2448" w:rsidRPr="002B00A7">
        <w:rPr>
          <w:rFonts w:ascii="Garamond" w:hAnsi="Garamond" w:cs="Calibri"/>
          <w:color w:val="000000"/>
          <w:sz w:val="22"/>
          <w:szCs w:val="22"/>
        </w:rPr>
        <w:t xml:space="preserve">with other members of the team. </w:t>
      </w:r>
      <w:r w:rsidR="00F17FF0" w:rsidRPr="002B00A7">
        <w:rPr>
          <w:rFonts w:ascii="Garamond" w:hAnsi="Garamond" w:cs="Calibri"/>
          <w:color w:val="000000"/>
          <w:sz w:val="22"/>
          <w:szCs w:val="22"/>
        </w:rPr>
        <w:t xml:space="preserve"> </w:t>
      </w:r>
      <w:r w:rsidR="00CB2448" w:rsidRPr="002B00A7">
        <w:rPr>
          <w:rFonts w:ascii="Garamond" w:hAnsi="Garamond" w:cs="Calibri"/>
          <w:color w:val="000000"/>
          <w:sz w:val="22"/>
          <w:szCs w:val="22"/>
        </w:rPr>
        <w:t xml:space="preserve">As part of planning meetings, </w:t>
      </w:r>
      <w:r w:rsidRPr="002B00A7">
        <w:rPr>
          <w:rFonts w:ascii="Garamond" w:hAnsi="Garamond" w:cs="Calibri"/>
          <w:color w:val="000000"/>
          <w:sz w:val="22"/>
          <w:szCs w:val="22"/>
        </w:rPr>
        <w:t xml:space="preserve">team leads can organize a process for each team member to </w:t>
      </w:r>
      <w:r w:rsidR="00CB2448" w:rsidRPr="002B00A7">
        <w:rPr>
          <w:rFonts w:ascii="Garamond" w:hAnsi="Garamond" w:cs="Calibri"/>
          <w:color w:val="000000"/>
          <w:sz w:val="22"/>
          <w:szCs w:val="22"/>
        </w:rPr>
        <w:t xml:space="preserve">block time to review key contextual information to inform the assessment and preparation. This includes: </w:t>
      </w:r>
    </w:p>
    <w:p w14:paraId="1E9978AB" w14:textId="602F1A26" w:rsidR="00CB2448" w:rsidRPr="002B00A7" w:rsidRDefault="002B00A7" w:rsidP="002B00A7">
      <w:pPr>
        <w:pStyle w:val="1-Bullet"/>
        <w:rPr>
          <w:b w:val="0"/>
          <w:bCs/>
          <w:szCs w:val="22"/>
        </w:rPr>
      </w:pPr>
      <w:r w:rsidRPr="002B00A7">
        <w:rPr>
          <w:b w:val="0"/>
          <w:bCs/>
          <w:szCs w:val="22"/>
        </w:rPr>
        <w:t>Review key elements of the Planning checklist tool</w:t>
      </w:r>
      <w:r w:rsidR="00572670">
        <w:rPr>
          <w:b w:val="0"/>
          <w:bCs/>
          <w:szCs w:val="22"/>
        </w:rPr>
        <w:t xml:space="preserve">. </w:t>
      </w:r>
      <w:r w:rsidR="00CB2448" w:rsidRPr="002B00A7">
        <w:rPr>
          <w:b w:val="0"/>
          <w:bCs/>
          <w:szCs w:val="22"/>
        </w:rPr>
        <w:t>H</w:t>
      </w:r>
      <w:r w:rsidR="00E4426F" w:rsidRPr="002B00A7">
        <w:rPr>
          <w:b w:val="0"/>
          <w:bCs/>
          <w:szCs w:val="22"/>
        </w:rPr>
        <w:t xml:space="preserve">istoric and </w:t>
      </w:r>
      <w:r w:rsidR="00F24D63" w:rsidRPr="002B00A7">
        <w:rPr>
          <w:b w:val="0"/>
          <w:bCs/>
          <w:szCs w:val="22"/>
        </w:rPr>
        <w:t>contemporary information available</w:t>
      </w:r>
      <w:r w:rsidR="00572670">
        <w:rPr>
          <w:b w:val="0"/>
          <w:bCs/>
          <w:szCs w:val="22"/>
        </w:rPr>
        <w:t xml:space="preserve"> </w:t>
      </w:r>
      <w:proofErr w:type="gramStart"/>
      <w:r w:rsidR="00F24D63" w:rsidRPr="002B00A7">
        <w:rPr>
          <w:b w:val="0"/>
          <w:bCs/>
          <w:szCs w:val="22"/>
        </w:rPr>
        <w:t xml:space="preserve">on </w:t>
      </w:r>
      <w:r w:rsidR="00E4426F" w:rsidRPr="002B00A7">
        <w:rPr>
          <w:b w:val="0"/>
          <w:bCs/>
          <w:szCs w:val="22"/>
        </w:rPr>
        <w:t xml:space="preserve"> </w:t>
      </w:r>
      <w:r w:rsidR="00931C86" w:rsidRPr="002B00A7">
        <w:rPr>
          <w:b w:val="0"/>
          <w:bCs/>
          <w:szCs w:val="22"/>
        </w:rPr>
        <w:t>ITN</w:t>
      </w:r>
      <w:proofErr w:type="gramEnd"/>
      <w:r w:rsidR="00E4426F" w:rsidRPr="002B00A7">
        <w:rPr>
          <w:b w:val="0"/>
          <w:bCs/>
          <w:szCs w:val="22"/>
        </w:rPr>
        <w:t xml:space="preserve"> distribution and coverage through mass and continuous distribution in the study regions, including the use:</w:t>
      </w:r>
      <w:r w:rsidR="00572670">
        <w:rPr>
          <w:b w:val="0"/>
          <w:bCs/>
          <w:szCs w:val="22"/>
        </w:rPr>
        <w:t xml:space="preserve"> </w:t>
      </w:r>
      <w:r w:rsidR="00E4426F" w:rsidRPr="002B00A7">
        <w:rPr>
          <w:b w:val="0"/>
          <w:bCs/>
          <w:szCs w:val="22"/>
        </w:rPr>
        <w:t xml:space="preserve">access ratio and seasonal variation in </w:t>
      </w:r>
      <w:r w:rsidR="00931C86" w:rsidRPr="002B00A7">
        <w:rPr>
          <w:b w:val="0"/>
          <w:bCs/>
          <w:szCs w:val="22"/>
        </w:rPr>
        <w:t>ITN</w:t>
      </w:r>
      <w:r w:rsidR="00E4426F" w:rsidRPr="002B00A7">
        <w:rPr>
          <w:b w:val="0"/>
          <w:bCs/>
          <w:szCs w:val="22"/>
        </w:rPr>
        <w:t xml:space="preserve"> use</w:t>
      </w:r>
      <w:r w:rsidR="00A63616" w:rsidRPr="002B00A7">
        <w:rPr>
          <w:b w:val="0"/>
          <w:bCs/>
          <w:szCs w:val="22"/>
        </w:rPr>
        <w:t>;</w:t>
      </w:r>
    </w:p>
    <w:p w14:paraId="431E8262" w14:textId="532B980C" w:rsidR="00CB2448" w:rsidRPr="002B00A7" w:rsidRDefault="00CB2448" w:rsidP="002B00A7">
      <w:pPr>
        <w:pStyle w:val="1-Bullet"/>
        <w:rPr>
          <w:b w:val="0"/>
          <w:bCs/>
          <w:szCs w:val="22"/>
        </w:rPr>
      </w:pPr>
      <w:r w:rsidRPr="002B00A7">
        <w:rPr>
          <w:b w:val="0"/>
          <w:bCs/>
          <w:szCs w:val="22"/>
        </w:rPr>
        <w:t>S</w:t>
      </w:r>
      <w:r w:rsidR="00E4426F" w:rsidRPr="002B00A7">
        <w:rPr>
          <w:b w:val="0"/>
          <w:bCs/>
          <w:szCs w:val="22"/>
        </w:rPr>
        <w:t>tructural and perceived factors associated with</w:t>
      </w:r>
      <w:r w:rsidR="00824B2E" w:rsidRPr="002B00A7">
        <w:rPr>
          <w:b w:val="0"/>
          <w:bCs/>
          <w:szCs w:val="22"/>
        </w:rPr>
        <w:t xml:space="preserve"> country-wide</w:t>
      </w:r>
      <w:r w:rsidR="00E4426F" w:rsidRPr="002B00A7">
        <w:rPr>
          <w:b w:val="0"/>
          <w:bCs/>
          <w:szCs w:val="22"/>
        </w:rPr>
        <w:t xml:space="preserve"> access to </w:t>
      </w:r>
      <w:r w:rsidR="00931C86" w:rsidRPr="002B00A7">
        <w:rPr>
          <w:b w:val="0"/>
          <w:bCs/>
          <w:szCs w:val="22"/>
        </w:rPr>
        <w:t>ITN</w:t>
      </w:r>
      <w:r w:rsidR="00E4426F" w:rsidRPr="002B00A7">
        <w:rPr>
          <w:b w:val="0"/>
          <w:bCs/>
          <w:szCs w:val="22"/>
        </w:rPr>
        <w:t>s through continuous distribution, including pregnant women</w:t>
      </w:r>
      <w:r w:rsidR="006E5B73" w:rsidRPr="002B00A7">
        <w:rPr>
          <w:b w:val="0"/>
          <w:bCs/>
          <w:szCs w:val="22"/>
        </w:rPr>
        <w:t>’</w:t>
      </w:r>
      <w:r w:rsidR="00E4426F" w:rsidRPr="002B00A7">
        <w:rPr>
          <w:b w:val="0"/>
          <w:bCs/>
          <w:szCs w:val="22"/>
        </w:rPr>
        <w:t xml:space="preserve">s access to ANC and health facilities, levels of vaccination coverage, the existence of community delivery channels (e.g. </w:t>
      </w:r>
      <w:r w:rsidR="00C57153" w:rsidRPr="002B00A7">
        <w:rPr>
          <w:b w:val="0"/>
          <w:bCs/>
          <w:szCs w:val="22"/>
        </w:rPr>
        <w:t>Community Health Workers</w:t>
      </w:r>
      <w:r w:rsidR="00E4426F" w:rsidRPr="002B00A7">
        <w:rPr>
          <w:b w:val="0"/>
          <w:bCs/>
          <w:szCs w:val="22"/>
        </w:rPr>
        <w:t>), educational attendance levels and coverage, and coverage of vulnerable populations including people living with HIV, internally displaced persons and refugees (as appropriate) and the economically vulnerable</w:t>
      </w:r>
      <w:r w:rsidR="00A63616" w:rsidRPr="002B00A7">
        <w:rPr>
          <w:b w:val="0"/>
          <w:bCs/>
          <w:szCs w:val="22"/>
        </w:rPr>
        <w:t>; and</w:t>
      </w:r>
    </w:p>
    <w:p w14:paraId="7370DE30" w14:textId="7F49B4B4" w:rsidR="00E4426F" w:rsidRPr="002B00A7" w:rsidRDefault="00CB2448" w:rsidP="002B00A7">
      <w:pPr>
        <w:pStyle w:val="1-Bullet"/>
      </w:pPr>
      <w:r w:rsidRPr="002B00A7">
        <w:rPr>
          <w:b w:val="0"/>
          <w:bCs/>
          <w:szCs w:val="22"/>
        </w:rPr>
        <w:t>A</w:t>
      </w:r>
      <w:r w:rsidR="00E4426F" w:rsidRPr="002B00A7">
        <w:rPr>
          <w:b w:val="0"/>
          <w:bCs/>
          <w:szCs w:val="22"/>
        </w:rPr>
        <w:t xml:space="preserve">vailability, completeness and quality of local written procedures and guidelines for continuous </w:t>
      </w:r>
      <w:r w:rsidR="00931C86" w:rsidRPr="002B00A7">
        <w:rPr>
          <w:b w:val="0"/>
          <w:bCs/>
          <w:szCs w:val="22"/>
        </w:rPr>
        <w:t>ITN</w:t>
      </w:r>
      <w:r w:rsidR="00E4426F" w:rsidRPr="002B00A7">
        <w:rPr>
          <w:b w:val="0"/>
          <w:bCs/>
          <w:szCs w:val="22"/>
        </w:rPr>
        <w:t xml:space="preserve"> systems, and define standards against which insights from subsequent KIIs will be graded </w:t>
      </w:r>
      <w:r w:rsidR="00E4426F" w:rsidRPr="002B00A7">
        <w:t xml:space="preserve">(for example, at which ANC and EPI visit are </w:t>
      </w:r>
      <w:r w:rsidR="00931C86" w:rsidRPr="002B00A7">
        <w:t>ITN</w:t>
      </w:r>
      <w:r w:rsidR="00E4426F" w:rsidRPr="002B00A7">
        <w:t xml:space="preserve">s distributed, are </w:t>
      </w:r>
      <w:r w:rsidR="00931C86" w:rsidRPr="002B00A7">
        <w:t>ITN</w:t>
      </w:r>
      <w:r w:rsidR="00E4426F" w:rsidRPr="002B00A7">
        <w:t>s delivered to children via any other health services)</w:t>
      </w:r>
      <w:r w:rsidR="00A63616" w:rsidRPr="002B00A7">
        <w:t>.</w:t>
      </w:r>
    </w:p>
    <w:p w14:paraId="5B4BAE0B" w14:textId="62D82094" w:rsidR="00CB2448" w:rsidRPr="00EA2FAA" w:rsidRDefault="002B00A7" w:rsidP="00F40C2A">
      <w:pPr>
        <w:rPr>
          <w:rFonts w:ascii="Garamond" w:hAnsi="Garamond"/>
          <w:b/>
          <w:bCs/>
          <w:color w:val="000000" w:themeColor="text1"/>
          <w:sz w:val="22"/>
          <w:szCs w:val="22"/>
        </w:rPr>
      </w:pPr>
      <w:r w:rsidRPr="00EA2FAA">
        <w:rPr>
          <w:rFonts w:ascii="Garamond" w:hAnsi="Garamond"/>
          <w:b/>
          <w:bCs/>
          <w:color w:val="000000" w:themeColor="text1"/>
          <w:sz w:val="22"/>
          <w:szCs w:val="22"/>
        </w:rPr>
        <w:t>LIST</w:t>
      </w:r>
      <w:r>
        <w:rPr>
          <w:rFonts w:ascii="Garamond" w:hAnsi="Garamond"/>
          <w:b/>
          <w:bCs/>
          <w:color w:val="000000" w:themeColor="text1"/>
          <w:sz w:val="22"/>
          <w:szCs w:val="22"/>
        </w:rPr>
        <w:t xml:space="preserve"> OF</w:t>
      </w:r>
      <w:r w:rsidRPr="00EA2FAA">
        <w:rPr>
          <w:rFonts w:ascii="Garamond" w:hAnsi="Garamond"/>
          <w:b/>
          <w:bCs/>
          <w:color w:val="000000" w:themeColor="text1"/>
          <w:sz w:val="22"/>
          <w:szCs w:val="22"/>
        </w:rPr>
        <w:t xml:space="preserve"> DOCUMENTS TO COLLECT AT NATIONAL LEVEL</w:t>
      </w:r>
    </w:p>
    <w:p w14:paraId="32DE07F9" w14:textId="6CE9BD98" w:rsidR="002B00A7" w:rsidRPr="002B00A7" w:rsidRDefault="00D1778C" w:rsidP="002B00A7">
      <w:pPr>
        <w:pStyle w:val="1-Bullet"/>
        <w:rPr>
          <w:b w:val="0"/>
          <w:bCs/>
          <w:szCs w:val="22"/>
        </w:rPr>
      </w:pPr>
      <w:r w:rsidRPr="002B00A7">
        <w:rPr>
          <w:rFonts w:eastAsia="Arial" w:cstheme="majorHAnsi"/>
          <w:b w:val="0"/>
          <w:bCs/>
          <w:color w:val="000000" w:themeColor="text1"/>
          <w:szCs w:val="22"/>
        </w:rPr>
        <w:t xml:space="preserve">Current </w:t>
      </w:r>
      <w:r w:rsidR="00CB2448" w:rsidRPr="002B00A7">
        <w:rPr>
          <w:rFonts w:eastAsia="Arial" w:cstheme="majorHAnsi"/>
          <w:b w:val="0"/>
          <w:bCs/>
          <w:color w:val="000000" w:themeColor="text1"/>
          <w:szCs w:val="22"/>
        </w:rPr>
        <w:t>National malaria strategic plan</w:t>
      </w:r>
    </w:p>
    <w:p w14:paraId="2A4A8992" w14:textId="4CD464D8" w:rsidR="00CB2448" w:rsidRPr="002B00A7" w:rsidRDefault="00CB2448" w:rsidP="002B00A7">
      <w:pPr>
        <w:pStyle w:val="1-Bullet"/>
        <w:rPr>
          <w:b w:val="0"/>
          <w:bCs/>
          <w:szCs w:val="22"/>
        </w:rPr>
      </w:pPr>
      <w:r w:rsidRPr="002B00A7">
        <w:rPr>
          <w:b w:val="0"/>
          <w:bCs/>
          <w:szCs w:val="22"/>
        </w:rPr>
        <w:t>Country integrated vector control plan</w:t>
      </w:r>
    </w:p>
    <w:p w14:paraId="79F43C57" w14:textId="0586A547" w:rsidR="00E02F4E" w:rsidRPr="002B00A7" w:rsidRDefault="00E02F4E" w:rsidP="002B00A7">
      <w:pPr>
        <w:pStyle w:val="1-Bullet"/>
        <w:rPr>
          <w:b w:val="0"/>
          <w:bCs/>
          <w:szCs w:val="22"/>
        </w:rPr>
      </w:pPr>
      <w:r w:rsidRPr="002B00A7">
        <w:rPr>
          <w:b w:val="0"/>
          <w:bCs/>
          <w:szCs w:val="22"/>
        </w:rPr>
        <w:t xml:space="preserve">PMI Malaria Operational </w:t>
      </w:r>
      <w:r w:rsidR="00BC3DE1" w:rsidRPr="002B00A7">
        <w:rPr>
          <w:b w:val="0"/>
          <w:bCs/>
          <w:szCs w:val="22"/>
        </w:rPr>
        <w:t>P</w:t>
      </w:r>
      <w:r w:rsidRPr="002B00A7">
        <w:rPr>
          <w:b w:val="0"/>
          <w:bCs/>
          <w:szCs w:val="22"/>
        </w:rPr>
        <w:t>lan</w:t>
      </w:r>
    </w:p>
    <w:p w14:paraId="2CFF26E9" w14:textId="22D5AF25" w:rsidR="0097510E" w:rsidRPr="002B00A7" w:rsidRDefault="0097510E" w:rsidP="002B00A7">
      <w:pPr>
        <w:pStyle w:val="1-Bullet"/>
        <w:rPr>
          <w:b w:val="0"/>
          <w:bCs/>
          <w:szCs w:val="22"/>
        </w:rPr>
      </w:pPr>
      <w:r w:rsidRPr="002B00A7">
        <w:rPr>
          <w:b w:val="0"/>
          <w:bCs/>
          <w:szCs w:val="22"/>
        </w:rPr>
        <w:t xml:space="preserve">Global Fund Malaria </w:t>
      </w:r>
      <w:r w:rsidR="00C72DE2" w:rsidRPr="002B00A7">
        <w:rPr>
          <w:b w:val="0"/>
          <w:bCs/>
          <w:szCs w:val="22"/>
        </w:rPr>
        <w:t xml:space="preserve">grant </w:t>
      </w:r>
      <w:r w:rsidRPr="002B00A7">
        <w:rPr>
          <w:b w:val="0"/>
          <w:bCs/>
          <w:szCs w:val="22"/>
        </w:rPr>
        <w:t xml:space="preserve">application </w:t>
      </w:r>
    </w:p>
    <w:p w14:paraId="3BA54D58" w14:textId="0836F5EB" w:rsidR="0097510E" w:rsidRPr="002B00A7" w:rsidRDefault="0097510E" w:rsidP="002B00A7">
      <w:pPr>
        <w:pStyle w:val="1-Bullet"/>
        <w:rPr>
          <w:b w:val="0"/>
          <w:bCs/>
          <w:szCs w:val="22"/>
        </w:rPr>
      </w:pPr>
      <w:r w:rsidRPr="002B00A7">
        <w:rPr>
          <w:rFonts w:eastAsia="Arial" w:cstheme="majorHAnsi"/>
          <w:b w:val="0"/>
          <w:bCs/>
          <w:color w:val="000000" w:themeColor="text1"/>
          <w:szCs w:val="22"/>
        </w:rPr>
        <w:t>Meeting notes from malaria and/or ITN technical working group</w:t>
      </w:r>
    </w:p>
    <w:p w14:paraId="1A756DD6" w14:textId="6D2EEA17" w:rsidR="00CB2448" w:rsidRPr="002B00A7" w:rsidRDefault="00CB2448" w:rsidP="002B00A7">
      <w:pPr>
        <w:pStyle w:val="1-Bullet"/>
        <w:rPr>
          <w:b w:val="0"/>
          <w:bCs/>
          <w:szCs w:val="22"/>
        </w:rPr>
      </w:pPr>
      <w:r w:rsidRPr="002B00A7">
        <w:rPr>
          <w:rFonts w:eastAsia="Arial" w:cstheme="majorHAnsi"/>
          <w:b w:val="0"/>
          <w:bCs/>
          <w:color w:val="000000" w:themeColor="text1"/>
          <w:szCs w:val="22"/>
        </w:rPr>
        <w:t>NMP SBCC strategy (when available)</w:t>
      </w:r>
    </w:p>
    <w:p w14:paraId="088C6967" w14:textId="492CC66C" w:rsidR="00CB2448" w:rsidRPr="002B00A7" w:rsidRDefault="00CB2448" w:rsidP="002B00A7">
      <w:pPr>
        <w:pStyle w:val="1-Bullet"/>
        <w:rPr>
          <w:b w:val="0"/>
          <w:bCs/>
          <w:szCs w:val="22"/>
        </w:rPr>
      </w:pPr>
      <w:r w:rsidRPr="002B00A7">
        <w:rPr>
          <w:rFonts w:eastAsia="Arial" w:cstheme="majorHAnsi"/>
          <w:b w:val="0"/>
          <w:bCs/>
          <w:color w:val="000000" w:themeColor="text1"/>
          <w:szCs w:val="22"/>
        </w:rPr>
        <w:t xml:space="preserve">DHS, MIS and DHIS2 reports, including data for ITN access and use rates  </w:t>
      </w:r>
    </w:p>
    <w:p w14:paraId="68696829" w14:textId="267153EF" w:rsidR="00CB2448" w:rsidRPr="002B00A7" w:rsidRDefault="00382C81" w:rsidP="002B00A7">
      <w:pPr>
        <w:pStyle w:val="1-Bullet"/>
        <w:rPr>
          <w:b w:val="0"/>
          <w:bCs/>
          <w:szCs w:val="22"/>
        </w:rPr>
      </w:pPr>
      <w:r w:rsidRPr="002B00A7">
        <w:rPr>
          <w:rFonts w:eastAsia="Arial" w:cstheme="majorHAnsi"/>
          <w:b w:val="0"/>
          <w:bCs/>
          <w:color w:val="000000" w:themeColor="text1"/>
          <w:szCs w:val="22"/>
        </w:rPr>
        <w:t>Formative research reports regarding determinants of ITN owner</w:t>
      </w:r>
      <w:r w:rsidR="003E5E56" w:rsidRPr="002B00A7">
        <w:rPr>
          <w:rFonts w:eastAsia="Arial" w:cstheme="majorHAnsi"/>
          <w:b w:val="0"/>
          <w:bCs/>
          <w:color w:val="000000" w:themeColor="text1"/>
          <w:szCs w:val="22"/>
        </w:rPr>
        <w:t>s</w:t>
      </w:r>
      <w:r w:rsidRPr="002B00A7">
        <w:rPr>
          <w:rFonts w:eastAsia="Arial" w:cstheme="majorHAnsi"/>
          <w:b w:val="0"/>
          <w:bCs/>
          <w:color w:val="000000" w:themeColor="text1"/>
          <w:szCs w:val="22"/>
        </w:rPr>
        <w:t>hip</w:t>
      </w:r>
      <w:r w:rsidR="00703991" w:rsidRPr="002B00A7">
        <w:rPr>
          <w:rFonts w:eastAsia="Arial" w:cstheme="majorHAnsi"/>
          <w:b w:val="0"/>
          <w:bCs/>
          <w:color w:val="000000" w:themeColor="text1"/>
          <w:szCs w:val="22"/>
        </w:rPr>
        <w:t xml:space="preserve"> and</w:t>
      </w:r>
      <w:r w:rsidRPr="002B00A7">
        <w:rPr>
          <w:rFonts w:eastAsia="Arial" w:cstheme="majorHAnsi"/>
          <w:b w:val="0"/>
          <w:bCs/>
          <w:color w:val="000000" w:themeColor="text1"/>
          <w:szCs w:val="22"/>
        </w:rPr>
        <w:t xml:space="preserve"> use</w:t>
      </w:r>
    </w:p>
    <w:p w14:paraId="08DB6B56" w14:textId="5E8DC386" w:rsidR="00C57153" w:rsidRPr="002B00A7" w:rsidRDefault="00C57153" w:rsidP="002B00A7">
      <w:pPr>
        <w:pStyle w:val="1-Bullet"/>
        <w:rPr>
          <w:b w:val="0"/>
          <w:bCs/>
          <w:szCs w:val="22"/>
        </w:rPr>
      </w:pPr>
      <w:r w:rsidRPr="002B00A7">
        <w:rPr>
          <w:rFonts w:eastAsia="Arial" w:cstheme="majorHAnsi"/>
          <w:b w:val="0"/>
          <w:bCs/>
          <w:color w:val="000000" w:themeColor="text1"/>
          <w:szCs w:val="22"/>
        </w:rPr>
        <w:t xml:space="preserve">Malaria program review, other evaluation reports </w:t>
      </w:r>
    </w:p>
    <w:p w14:paraId="5D63B3BB" w14:textId="0A0B0EF5" w:rsidR="002B00A7" w:rsidRPr="002B00A7" w:rsidRDefault="00A7670A" w:rsidP="002B00A7">
      <w:pPr>
        <w:pStyle w:val="1-Bullet"/>
        <w:rPr>
          <w:b w:val="0"/>
          <w:bCs/>
          <w:szCs w:val="22"/>
        </w:rPr>
      </w:pPr>
      <w:r w:rsidRPr="002B00A7">
        <w:rPr>
          <w:rFonts w:eastAsia="Arial" w:cstheme="majorHAnsi"/>
          <w:b w:val="0"/>
          <w:bCs/>
          <w:color w:val="000000" w:themeColor="text1"/>
          <w:szCs w:val="22"/>
        </w:rPr>
        <w:t>NMP Gap Analysis for</w:t>
      </w:r>
      <w:r w:rsidR="00572670">
        <w:rPr>
          <w:rFonts w:eastAsia="Arial" w:cstheme="majorHAnsi"/>
          <w:b w:val="0"/>
          <w:bCs/>
          <w:color w:val="000000" w:themeColor="text1"/>
          <w:szCs w:val="22"/>
        </w:rPr>
        <w:t xml:space="preserve"> </w:t>
      </w:r>
      <w:r w:rsidR="00C0181C" w:rsidRPr="002B00A7">
        <w:rPr>
          <w:rFonts w:eastAsia="Arial" w:cstheme="majorHAnsi"/>
          <w:b w:val="0"/>
          <w:bCs/>
          <w:color w:val="000000" w:themeColor="text1"/>
          <w:szCs w:val="22"/>
        </w:rPr>
        <w:t>ITN</w:t>
      </w:r>
      <w:r w:rsidRPr="002B00A7">
        <w:rPr>
          <w:rFonts w:eastAsia="Arial" w:cstheme="majorHAnsi"/>
          <w:b w:val="0"/>
          <w:bCs/>
          <w:color w:val="000000" w:themeColor="text1"/>
          <w:szCs w:val="22"/>
        </w:rPr>
        <w:t xml:space="preserve"> commodities</w:t>
      </w:r>
      <w:r w:rsidR="00C72DE2" w:rsidRPr="002B00A7">
        <w:rPr>
          <w:rFonts w:eastAsia="Arial" w:cstheme="majorHAnsi"/>
          <w:b w:val="0"/>
          <w:bCs/>
          <w:color w:val="000000" w:themeColor="text1"/>
          <w:szCs w:val="22"/>
        </w:rPr>
        <w:t xml:space="preserve"> (quantities of nets required and </w:t>
      </w:r>
      <w:r w:rsidRPr="002B00A7">
        <w:rPr>
          <w:rFonts w:eastAsia="Arial" w:cstheme="majorHAnsi"/>
          <w:b w:val="0"/>
          <w:bCs/>
          <w:color w:val="000000" w:themeColor="text1"/>
          <w:szCs w:val="22"/>
        </w:rPr>
        <w:t>funding</w:t>
      </w:r>
      <w:r w:rsidR="00C72DE2" w:rsidRPr="002B00A7">
        <w:rPr>
          <w:rFonts w:eastAsia="Arial" w:cstheme="majorHAnsi"/>
          <w:b w:val="0"/>
          <w:bCs/>
          <w:color w:val="000000" w:themeColor="text1"/>
          <w:szCs w:val="22"/>
        </w:rPr>
        <w:t xml:space="preserve"> available)</w:t>
      </w:r>
    </w:p>
    <w:p w14:paraId="02AC9C2C" w14:textId="7DD21A94" w:rsidR="002B00A7" w:rsidRPr="008D6F3B" w:rsidRDefault="00A7670A" w:rsidP="002B00A7">
      <w:pPr>
        <w:pStyle w:val="1-Bullet"/>
        <w:rPr>
          <w:b w:val="0"/>
          <w:bCs/>
          <w:szCs w:val="22"/>
        </w:rPr>
      </w:pPr>
      <w:r w:rsidRPr="002B00A7">
        <w:rPr>
          <w:rFonts w:eastAsia="Arial" w:cstheme="majorHAnsi"/>
          <w:b w:val="0"/>
          <w:bCs/>
          <w:color w:val="000000" w:themeColor="text1"/>
          <w:szCs w:val="22"/>
        </w:rPr>
        <w:t>MOH Documents</w:t>
      </w:r>
    </w:p>
    <w:p w14:paraId="0052AA3D" w14:textId="06344DF2" w:rsidR="008D6F3B" w:rsidRDefault="008D6F3B" w:rsidP="008D6F3B">
      <w:pPr>
        <w:pStyle w:val="1-Bullet2"/>
      </w:pPr>
      <w:r>
        <w:t>Mother and Child Health Card</w:t>
      </w:r>
    </w:p>
    <w:p w14:paraId="1F9EE66D" w14:textId="659518D9" w:rsidR="008D6F3B" w:rsidRDefault="008D6F3B" w:rsidP="008D6F3B">
      <w:pPr>
        <w:pStyle w:val="1-Bullet2"/>
      </w:pPr>
      <w:r>
        <w:t>Health and / or malaria supervision checklists, examples</w:t>
      </w:r>
    </w:p>
    <w:p w14:paraId="23E7382B" w14:textId="47384C8B" w:rsidR="008D6F3B" w:rsidRDefault="008D6F3B" w:rsidP="008D6F3B">
      <w:pPr>
        <w:pStyle w:val="1-Bullet2"/>
      </w:pPr>
      <w:r>
        <w:t>Health commodity logistics systems manuals, SOPs</w:t>
      </w:r>
    </w:p>
    <w:p w14:paraId="55DD5559" w14:textId="72F9A986" w:rsidR="008D6F3B" w:rsidRPr="008D6F3B" w:rsidRDefault="008D6F3B" w:rsidP="008D6F3B">
      <w:pPr>
        <w:pStyle w:val="1-Bullet2"/>
      </w:pPr>
      <w:r>
        <w:t>Health commodity tools (e.g., Warehouse stock tracking cards, Bills of lading, Stock transfer forms, ITN tracking tools, monthly report forms)</w:t>
      </w:r>
    </w:p>
    <w:p w14:paraId="623EDD6C" w14:textId="33621A3C" w:rsidR="00CB2448" w:rsidRPr="002B00A7" w:rsidRDefault="00446F1A" w:rsidP="002B00A7">
      <w:pPr>
        <w:spacing w:before="120" w:after="120"/>
        <w:rPr>
          <w:rFonts w:ascii="Garamond" w:hAnsi="Garamond"/>
          <w:b/>
          <w:bCs/>
          <w:color w:val="000000" w:themeColor="text1"/>
          <w:sz w:val="22"/>
          <w:szCs w:val="22"/>
        </w:rPr>
      </w:pPr>
      <w:r w:rsidRPr="002B00A7">
        <w:rPr>
          <w:rFonts w:ascii="Garamond" w:hAnsi="Garamond"/>
          <w:b/>
          <w:bCs/>
          <w:color w:val="000000" w:themeColor="text1"/>
          <w:sz w:val="22"/>
          <w:szCs w:val="22"/>
        </w:rPr>
        <w:t>GLOBAL DESK REVIEW DOCUMENTS</w:t>
      </w:r>
    </w:p>
    <w:p w14:paraId="2B4A4F0F" w14:textId="4E5D112B" w:rsidR="00F40C2A" w:rsidRPr="008D6F3B" w:rsidRDefault="00F40C2A" w:rsidP="008D6F3B">
      <w:pPr>
        <w:pStyle w:val="1-Bullet"/>
        <w:jc w:val="left"/>
        <w:rPr>
          <w:b w:val="0"/>
          <w:bCs/>
        </w:rPr>
      </w:pPr>
      <w:r w:rsidRPr="008D6F3B">
        <w:rPr>
          <w:rFonts w:eastAsia="Arial" w:cstheme="majorHAnsi"/>
          <w:b w:val="0"/>
          <w:bCs/>
          <w:color w:val="000000"/>
          <w:szCs w:val="22"/>
        </w:rPr>
        <w:lastRenderedPageBreak/>
        <w:t xml:space="preserve">RBM VCWG </w:t>
      </w:r>
      <w:r w:rsidRPr="008D6F3B">
        <w:rPr>
          <w:rFonts w:eastAsia="Arial" w:cstheme="majorHAnsi"/>
          <w:b w:val="0"/>
          <w:bCs/>
          <w:i/>
          <w:iCs/>
          <w:color w:val="000000"/>
          <w:szCs w:val="22"/>
        </w:rPr>
        <w:t xml:space="preserve">Health Facility-Based </w:t>
      </w:r>
      <w:r w:rsidR="00572670" w:rsidRPr="008D6F3B">
        <w:rPr>
          <w:rFonts w:eastAsia="Arial" w:cstheme="majorHAnsi"/>
          <w:b w:val="0"/>
          <w:bCs/>
          <w:i/>
          <w:iCs/>
          <w:color w:val="000000"/>
          <w:szCs w:val="22"/>
        </w:rPr>
        <w:t>Distributions</w:t>
      </w:r>
      <w:r w:rsidRPr="008D6F3B">
        <w:rPr>
          <w:rFonts w:eastAsia="Arial" w:cstheme="majorHAnsi"/>
          <w:b w:val="0"/>
          <w:bCs/>
          <w:i/>
          <w:iCs/>
          <w:color w:val="000000"/>
          <w:szCs w:val="22"/>
        </w:rPr>
        <w:t xml:space="preserve"> of </w:t>
      </w:r>
      <w:r w:rsidR="00931C86" w:rsidRPr="008D6F3B">
        <w:rPr>
          <w:rFonts w:eastAsia="Arial" w:cstheme="majorHAnsi"/>
          <w:b w:val="0"/>
          <w:bCs/>
          <w:i/>
          <w:iCs/>
          <w:color w:val="000000"/>
          <w:szCs w:val="22"/>
        </w:rPr>
        <w:t>ITN</w:t>
      </w:r>
      <w:r w:rsidRPr="008D6F3B">
        <w:rPr>
          <w:rFonts w:eastAsia="Arial" w:cstheme="majorHAnsi"/>
          <w:b w:val="0"/>
          <w:bCs/>
          <w:i/>
          <w:iCs/>
          <w:color w:val="000000"/>
          <w:szCs w:val="22"/>
        </w:rPr>
        <w:t>s, A Short Guide Based on Recent Country Experience</w:t>
      </w:r>
      <w:r w:rsidR="004D411A" w:rsidRPr="008D6F3B">
        <w:rPr>
          <w:rFonts w:eastAsia="Arial" w:cstheme="majorHAnsi"/>
          <w:b w:val="0"/>
          <w:bCs/>
          <w:i/>
          <w:iCs/>
          <w:color w:val="000000"/>
          <w:szCs w:val="22"/>
        </w:rPr>
        <w:t xml:space="preserve"> </w:t>
      </w:r>
      <w:r w:rsidR="004D411A" w:rsidRPr="008D6F3B">
        <w:rPr>
          <w:rStyle w:val="FootnoteReference"/>
          <w:b w:val="0"/>
          <w:bCs/>
          <w:color w:val="000000" w:themeColor="text1"/>
          <w:sz w:val="22"/>
          <w:szCs w:val="22"/>
        </w:rPr>
        <w:footnoteReference w:id="12"/>
      </w:r>
    </w:p>
    <w:p w14:paraId="08B6E9E2" w14:textId="77777777" w:rsidR="008D6F3B" w:rsidRPr="008D6F3B" w:rsidRDefault="00F40C2A" w:rsidP="008D6F3B">
      <w:pPr>
        <w:pStyle w:val="1-Bullet"/>
        <w:jc w:val="left"/>
        <w:rPr>
          <w:b w:val="0"/>
          <w:bCs/>
        </w:rPr>
      </w:pPr>
      <w:r w:rsidRPr="008D6F3B">
        <w:rPr>
          <w:rFonts w:eastAsia="Arial" w:cstheme="majorHAnsi"/>
          <w:b w:val="0"/>
          <w:bCs/>
          <w:color w:val="000000"/>
          <w:szCs w:val="22"/>
        </w:rPr>
        <w:t xml:space="preserve">RBM VCWG Continuous </w:t>
      </w:r>
      <w:r w:rsidR="00931C86" w:rsidRPr="008D6F3B">
        <w:rPr>
          <w:rFonts w:eastAsia="Arial" w:cstheme="majorHAnsi"/>
          <w:b w:val="0"/>
          <w:bCs/>
          <w:color w:val="000000"/>
          <w:szCs w:val="22"/>
        </w:rPr>
        <w:t>ITN</w:t>
      </w:r>
      <w:r w:rsidRPr="008D6F3B">
        <w:rPr>
          <w:rFonts w:eastAsia="Arial" w:cstheme="majorHAnsi"/>
          <w:b w:val="0"/>
          <w:bCs/>
          <w:color w:val="000000"/>
          <w:szCs w:val="22"/>
        </w:rPr>
        <w:t xml:space="preserve"> Distributions: A Guide to Concepts and Planning</w:t>
      </w:r>
      <w:r w:rsidR="004D411A" w:rsidRPr="008D6F3B">
        <w:rPr>
          <w:rFonts w:eastAsia="Arial" w:cstheme="majorHAnsi"/>
          <w:b w:val="0"/>
          <w:bCs/>
          <w:color w:val="000000"/>
          <w:szCs w:val="22"/>
        </w:rPr>
        <w:t xml:space="preserve"> </w:t>
      </w:r>
      <w:r w:rsidR="004D411A" w:rsidRPr="008D6F3B">
        <w:rPr>
          <w:rStyle w:val="FootnoteReference"/>
          <w:rFonts w:eastAsia="Arial" w:cstheme="majorHAnsi"/>
          <w:b w:val="0"/>
          <w:bCs/>
          <w:color w:val="000000"/>
          <w:sz w:val="22"/>
          <w:szCs w:val="22"/>
        </w:rPr>
        <w:footnoteReference w:id="13"/>
      </w:r>
    </w:p>
    <w:p w14:paraId="04116B34" w14:textId="636876A9" w:rsidR="00F40C2A" w:rsidRPr="008D6F3B" w:rsidRDefault="00E02F4E" w:rsidP="008D6F3B">
      <w:pPr>
        <w:pStyle w:val="1-Bullet"/>
        <w:jc w:val="left"/>
        <w:rPr>
          <w:b w:val="0"/>
          <w:bCs/>
        </w:rPr>
      </w:pPr>
      <w:r w:rsidRPr="008D6F3B">
        <w:rPr>
          <w:rFonts w:eastAsia="Arial" w:cstheme="majorHAnsi"/>
          <w:b w:val="0"/>
          <w:bCs/>
          <w:color w:val="000000"/>
          <w:szCs w:val="22"/>
        </w:rPr>
        <w:t xml:space="preserve">PMI </w:t>
      </w:r>
      <w:proofErr w:type="spellStart"/>
      <w:r w:rsidRPr="008D6F3B">
        <w:rPr>
          <w:rFonts w:eastAsia="Arial" w:cstheme="majorHAnsi"/>
          <w:b w:val="0"/>
          <w:bCs/>
          <w:color w:val="000000"/>
          <w:szCs w:val="22"/>
        </w:rPr>
        <w:t>VectorWorks</w:t>
      </w:r>
      <w:proofErr w:type="spellEnd"/>
      <w:r w:rsidRPr="008D6F3B">
        <w:rPr>
          <w:rFonts w:eastAsia="Arial" w:cstheme="majorHAnsi"/>
          <w:b w:val="0"/>
          <w:bCs/>
          <w:color w:val="000000"/>
          <w:szCs w:val="22"/>
        </w:rPr>
        <w:t xml:space="preserve"> </w:t>
      </w:r>
      <w:r w:rsidR="00CB2448" w:rsidRPr="008D6F3B">
        <w:rPr>
          <w:rFonts w:eastAsia="Arial" w:cstheme="majorHAnsi"/>
          <w:b w:val="0"/>
          <w:bCs/>
          <w:i/>
          <w:iCs/>
          <w:color w:val="000000"/>
          <w:szCs w:val="22"/>
        </w:rPr>
        <w:t>ITN Access:</w:t>
      </w:r>
      <w:r w:rsidR="00572670">
        <w:rPr>
          <w:rFonts w:eastAsia="Arial" w:cstheme="majorHAnsi"/>
          <w:b w:val="0"/>
          <w:bCs/>
          <w:i/>
          <w:iCs/>
          <w:color w:val="000000"/>
          <w:szCs w:val="22"/>
        </w:rPr>
        <w:t xml:space="preserve"> </w:t>
      </w:r>
      <w:r w:rsidR="00CB2448" w:rsidRPr="008D6F3B">
        <w:rPr>
          <w:rFonts w:eastAsia="Arial" w:cstheme="majorHAnsi"/>
          <w:b w:val="0"/>
          <w:bCs/>
          <w:i/>
          <w:iCs/>
          <w:color w:val="000000"/>
          <w:szCs w:val="22"/>
        </w:rPr>
        <w:t>Use Report</w:t>
      </w:r>
      <w:r w:rsidR="00CB2448" w:rsidRPr="008D6F3B">
        <w:rPr>
          <w:rFonts w:eastAsia="Arial" w:cstheme="majorHAnsi"/>
          <w:b w:val="0"/>
          <w:bCs/>
          <w:color w:val="000000"/>
          <w:szCs w:val="22"/>
        </w:rPr>
        <w:t xml:space="preserve"> </w:t>
      </w:r>
      <w:r w:rsidR="004D411A" w:rsidRPr="008D6F3B">
        <w:rPr>
          <w:rStyle w:val="FootnoteReference"/>
          <w:rFonts w:eastAsia="Arial" w:cstheme="majorHAnsi"/>
          <w:b w:val="0"/>
          <w:bCs/>
          <w:color w:val="000000"/>
          <w:sz w:val="22"/>
          <w:szCs w:val="22"/>
        </w:rPr>
        <w:footnoteReference w:id="14"/>
      </w:r>
    </w:p>
    <w:p w14:paraId="7298A594" w14:textId="626892C3" w:rsidR="00450733" w:rsidRDefault="00C91C0D" w:rsidP="00C778E9">
      <w:pPr>
        <w:pStyle w:val="Heading3"/>
      </w:pPr>
      <w:bookmarkStart w:id="43" w:name="_Toc43130672"/>
      <w:r>
        <w:t xml:space="preserve">Step </w:t>
      </w:r>
      <w:r w:rsidR="00446F1A">
        <w:t>F</w:t>
      </w:r>
      <w:r>
        <w:t xml:space="preserve">our: </w:t>
      </w:r>
      <w:r w:rsidR="00450733">
        <w:t>Site Selection</w:t>
      </w:r>
      <w:bookmarkEnd w:id="43"/>
    </w:p>
    <w:p w14:paraId="2F4BE3C7" w14:textId="2A27DC7E" w:rsidR="00446F1A" w:rsidRDefault="00BB79A7" w:rsidP="00426627">
      <w:pPr>
        <w:spacing w:before="120" w:after="120"/>
        <w:jc w:val="both"/>
        <w:rPr>
          <w:rFonts w:ascii="Garamond" w:hAnsi="Garamond" w:cs="Calibri"/>
          <w:sz w:val="22"/>
          <w:szCs w:val="22"/>
        </w:rPr>
      </w:pPr>
      <w:r>
        <w:rPr>
          <w:rFonts w:ascii="Garamond" w:hAnsi="Garamond"/>
          <w:sz w:val="22"/>
          <w:szCs w:val="22"/>
        </w:rPr>
        <w:t>The two h</w:t>
      </w:r>
      <w:r w:rsidR="00450733" w:rsidRPr="00E4426F">
        <w:rPr>
          <w:rFonts w:ascii="Garamond" w:hAnsi="Garamond" w:cs="Calibri"/>
          <w:sz w:val="22"/>
          <w:szCs w:val="22"/>
        </w:rPr>
        <w:t xml:space="preserve">ealth districts </w:t>
      </w:r>
      <w:r>
        <w:rPr>
          <w:rFonts w:ascii="Garamond" w:hAnsi="Garamond" w:cs="Calibri"/>
          <w:sz w:val="22"/>
          <w:szCs w:val="22"/>
        </w:rPr>
        <w:t>may be</w:t>
      </w:r>
      <w:r w:rsidR="00450733" w:rsidRPr="00E4426F">
        <w:rPr>
          <w:rFonts w:ascii="Garamond" w:hAnsi="Garamond" w:cs="Calibri"/>
          <w:sz w:val="22"/>
          <w:szCs w:val="22"/>
        </w:rPr>
        <w:t xml:space="preserve"> selected on the basis of health service usage, accessibility and security,</w:t>
      </w:r>
      <w:r w:rsidR="004E5235">
        <w:rPr>
          <w:rFonts w:ascii="Garamond" w:hAnsi="Garamond" w:cs="Calibri"/>
          <w:sz w:val="22"/>
          <w:szCs w:val="22"/>
        </w:rPr>
        <w:t xml:space="preserve"> </w:t>
      </w:r>
      <w:r w:rsidR="004E5235" w:rsidRPr="00E4426F">
        <w:rPr>
          <w:rFonts w:ascii="Garamond" w:hAnsi="Garamond" w:cs="Calibri"/>
          <w:sz w:val="22"/>
          <w:szCs w:val="22"/>
        </w:rPr>
        <w:t xml:space="preserve">as well as selection </w:t>
      </w:r>
      <w:r w:rsidR="00572670" w:rsidRPr="00E4426F">
        <w:rPr>
          <w:rFonts w:ascii="Garamond" w:hAnsi="Garamond" w:cs="Calibri"/>
          <w:sz w:val="22"/>
          <w:szCs w:val="22"/>
        </w:rPr>
        <w:t>criteria</w:t>
      </w:r>
      <w:r w:rsidR="004E5235" w:rsidRPr="00E4426F">
        <w:rPr>
          <w:rFonts w:ascii="Garamond" w:hAnsi="Garamond" w:cs="Calibri"/>
          <w:sz w:val="22"/>
          <w:szCs w:val="22"/>
        </w:rPr>
        <w:t xml:space="preserve"> determined by the </w:t>
      </w:r>
      <w:r w:rsidR="004E5235">
        <w:rPr>
          <w:rFonts w:ascii="Garamond" w:hAnsi="Garamond" w:cs="Calibri"/>
          <w:sz w:val="22"/>
          <w:szCs w:val="22"/>
        </w:rPr>
        <w:t xml:space="preserve">NMP, </w:t>
      </w:r>
      <w:r w:rsidR="00450733" w:rsidRPr="00E4426F">
        <w:rPr>
          <w:rFonts w:ascii="Garamond" w:hAnsi="Garamond" w:cs="Calibri"/>
          <w:sz w:val="22"/>
          <w:szCs w:val="22"/>
        </w:rPr>
        <w:t xml:space="preserve">in line with each country’s </w:t>
      </w:r>
      <w:r w:rsidR="00BC3DE1">
        <w:rPr>
          <w:rFonts w:ascii="Garamond" w:hAnsi="Garamond" w:cs="Calibri"/>
          <w:sz w:val="22"/>
          <w:szCs w:val="22"/>
        </w:rPr>
        <w:t>Demographic and Health Surve</w:t>
      </w:r>
      <w:r w:rsidR="004E5235">
        <w:rPr>
          <w:rFonts w:ascii="Garamond" w:hAnsi="Garamond" w:cs="Calibri"/>
          <w:sz w:val="22"/>
          <w:szCs w:val="22"/>
        </w:rPr>
        <w:t>y</w:t>
      </w:r>
      <w:r w:rsidR="00450733" w:rsidRPr="00E4426F">
        <w:rPr>
          <w:rFonts w:ascii="Garamond" w:hAnsi="Garamond" w:cs="Calibri"/>
          <w:sz w:val="22"/>
          <w:szCs w:val="22"/>
        </w:rPr>
        <w:t xml:space="preserve">, </w:t>
      </w:r>
      <w:r w:rsidR="00BC3DE1">
        <w:rPr>
          <w:rFonts w:ascii="Garamond" w:hAnsi="Garamond" w:cs="Calibri"/>
          <w:sz w:val="22"/>
          <w:szCs w:val="22"/>
        </w:rPr>
        <w:t>Malaria Indicator Survey</w:t>
      </w:r>
      <w:r w:rsidR="00450733" w:rsidRPr="00E4426F">
        <w:rPr>
          <w:rFonts w:ascii="Garamond" w:hAnsi="Garamond" w:cs="Calibri"/>
          <w:sz w:val="22"/>
          <w:szCs w:val="22"/>
        </w:rPr>
        <w:t xml:space="preserve">, </w:t>
      </w:r>
      <w:r w:rsidR="00572670">
        <w:rPr>
          <w:rFonts w:ascii="Garamond" w:hAnsi="Garamond" w:cs="Calibri"/>
          <w:sz w:val="22"/>
          <w:szCs w:val="22"/>
        </w:rPr>
        <w:t>District</w:t>
      </w:r>
      <w:r w:rsidR="00BC3DE1">
        <w:rPr>
          <w:rFonts w:ascii="Garamond" w:hAnsi="Garamond" w:cs="Calibri"/>
          <w:sz w:val="22"/>
          <w:szCs w:val="22"/>
        </w:rPr>
        <w:t xml:space="preserve"> Health Information Service, </w:t>
      </w:r>
      <w:r w:rsidR="00450733" w:rsidRPr="00E4426F">
        <w:rPr>
          <w:rFonts w:ascii="Garamond" w:hAnsi="Garamond" w:cs="Calibri"/>
          <w:sz w:val="22"/>
          <w:szCs w:val="22"/>
        </w:rPr>
        <w:t>and other data</w:t>
      </w:r>
      <w:r w:rsidR="00F17FF0">
        <w:rPr>
          <w:rFonts w:ascii="Garamond" w:hAnsi="Garamond" w:cs="Calibri"/>
          <w:sz w:val="22"/>
          <w:szCs w:val="22"/>
        </w:rPr>
        <w:t xml:space="preserve"> </w:t>
      </w:r>
      <w:r w:rsidR="00F17FF0" w:rsidRPr="00E4426F">
        <w:rPr>
          <w:rFonts w:ascii="Garamond" w:hAnsi="Garamond" w:cs="Calibri"/>
          <w:sz w:val="22"/>
          <w:szCs w:val="22"/>
        </w:rPr>
        <w:t xml:space="preserve"> </w:t>
      </w:r>
      <w:r w:rsidR="00450733" w:rsidRPr="00E4426F">
        <w:rPr>
          <w:rFonts w:ascii="Garamond" w:hAnsi="Garamond" w:cs="Calibri"/>
          <w:sz w:val="22"/>
          <w:szCs w:val="22"/>
        </w:rPr>
        <w:t xml:space="preserve">In one country, for example, sites were selected to ensure cultural and socio-economic diversity, taking into account a study on the determinants of use planned in other regions to avoid geographic overlap. </w:t>
      </w:r>
      <w:bookmarkEnd w:id="39"/>
    </w:p>
    <w:p w14:paraId="291D8BC1" w14:textId="7CE4EC11" w:rsidR="00446F1A" w:rsidRPr="00EA2FAA" w:rsidRDefault="00446F1A" w:rsidP="00446F1A">
      <w:pPr>
        <w:pStyle w:val="Heading3"/>
        <w:rPr>
          <w:sz w:val="24"/>
          <w:szCs w:val="24"/>
        </w:rPr>
      </w:pPr>
      <w:bookmarkStart w:id="44" w:name="_Toc43130673"/>
      <w:r>
        <w:rPr>
          <w:sz w:val="24"/>
          <w:szCs w:val="24"/>
        </w:rPr>
        <w:t>Assessment Planning Tools</w:t>
      </w:r>
      <w:bookmarkEnd w:id="44"/>
    </w:p>
    <w:tbl>
      <w:tblPr>
        <w:tblStyle w:val="TableGrid"/>
        <w:tblW w:w="0" w:type="auto"/>
        <w:tblLook w:val="04A0" w:firstRow="1" w:lastRow="0" w:firstColumn="1" w:lastColumn="0" w:noHBand="0" w:noVBand="1"/>
      </w:tblPr>
      <w:tblGrid>
        <w:gridCol w:w="775"/>
        <w:gridCol w:w="8575"/>
      </w:tblGrid>
      <w:tr w:rsidR="00316D0A" w:rsidRPr="00C00FAC" w14:paraId="2D03BCD9" w14:textId="77777777" w:rsidTr="00A93BA5">
        <w:tc>
          <w:tcPr>
            <w:tcW w:w="0" w:type="auto"/>
            <w:shd w:val="clear" w:color="auto" w:fill="DBE5F1" w:themeFill="accent1" w:themeFillTint="33"/>
          </w:tcPr>
          <w:p w14:paraId="48513F89" w14:textId="77777777" w:rsidR="00316D0A" w:rsidRPr="00C00FAC" w:rsidRDefault="00316D0A" w:rsidP="00A93BA5">
            <w:pPr>
              <w:pStyle w:val="Heading5"/>
              <w:shd w:val="clear" w:color="auto" w:fill="auto"/>
              <w:spacing w:before="0" w:after="0"/>
              <w:ind w:left="0"/>
            </w:pPr>
            <w:bookmarkStart w:id="45" w:name="_Hlk42760612"/>
            <w:r w:rsidRPr="00C00FAC">
              <w:t>Tool</w:t>
            </w:r>
          </w:p>
        </w:tc>
        <w:tc>
          <w:tcPr>
            <w:tcW w:w="0" w:type="auto"/>
            <w:shd w:val="clear" w:color="auto" w:fill="DBE5F1" w:themeFill="accent1" w:themeFillTint="33"/>
          </w:tcPr>
          <w:p w14:paraId="6FFF3792" w14:textId="77777777" w:rsidR="00316D0A" w:rsidRPr="00C00FAC" w:rsidRDefault="00316D0A" w:rsidP="00A93BA5">
            <w:pPr>
              <w:pStyle w:val="Heading5"/>
              <w:shd w:val="clear" w:color="auto" w:fill="auto"/>
              <w:spacing w:before="0" w:after="0"/>
              <w:ind w:left="0"/>
            </w:pPr>
            <w:r w:rsidRPr="00C00FAC">
              <w:t>Name</w:t>
            </w:r>
          </w:p>
        </w:tc>
      </w:tr>
      <w:tr w:rsidR="00316D0A" w14:paraId="15656996" w14:textId="77777777" w:rsidTr="00E3773F">
        <w:tc>
          <w:tcPr>
            <w:tcW w:w="0" w:type="auto"/>
            <w:shd w:val="clear" w:color="auto" w:fill="auto"/>
            <w:vAlign w:val="center"/>
          </w:tcPr>
          <w:p w14:paraId="0B978FB6" w14:textId="77777777" w:rsidR="00316D0A" w:rsidRDefault="00316D0A" w:rsidP="00316D0A">
            <w:pPr>
              <w:pStyle w:val="Heading5"/>
              <w:shd w:val="clear" w:color="auto" w:fill="auto"/>
              <w:spacing w:before="0" w:after="0"/>
              <w:ind w:left="0"/>
              <w:jc w:val="center"/>
              <w:rPr>
                <w:b w:val="0"/>
                <w:bCs/>
              </w:rPr>
            </w:pPr>
            <w:r>
              <w:rPr>
                <w:b w:val="0"/>
                <w:bCs/>
              </w:rPr>
              <w:t>2</w:t>
            </w:r>
          </w:p>
        </w:tc>
        <w:tc>
          <w:tcPr>
            <w:tcW w:w="0" w:type="auto"/>
            <w:shd w:val="clear" w:color="auto" w:fill="auto"/>
          </w:tcPr>
          <w:p w14:paraId="5070E09B" w14:textId="77777777" w:rsidR="00316D0A" w:rsidRDefault="00316D0A" w:rsidP="00A93BA5">
            <w:pPr>
              <w:pStyle w:val="Heading5"/>
              <w:shd w:val="clear" w:color="auto" w:fill="auto"/>
              <w:spacing w:before="0" w:after="0"/>
              <w:ind w:left="0"/>
              <w:rPr>
                <w:b w:val="0"/>
                <w:bCs/>
              </w:rPr>
            </w:pPr>
            <w:r w:rsidRPr="00C41775">
              <w:rPr>
                <w:b w:val="0"/>
                <w:bCs/>
              </w:rPr>
              <w:t>Assessment Planning Timeline</w:t>
            </w:r>
            <w:r>
              <w:rPr>
                <w:b w:val="0"/>
                <w:bCs/>
              </w:rPr>
              <w:t xml:space="preserve"> and Checklist </w:t>
            </w:r>
          </w:p>
        </w:tc>
      </w:tr>
      <w:tr w:rsidR="00316D0A" w14:paraId="27406B45" w14:textId="77777777" w:rsidTr="00E3773F">
        <w:tc>
          <w:tcPr>
            <w:tcW w:w="0" w:type="auto"/>
            <w:shd w:val="clear" w:color="auto" w:fill="auto"/>
            <w:vAlign w:val="center"/>
          </w:tcPr>
          <w:p w14:paraId="3809F4DB" w14:textId="247274BF" w:rsidR="00316D0A" w:rsidRDefault="00316D0A" w:rsidP="00316D0A">
            <w:pPr>
              <w:pStyle w:val="Heading5"/>
              <w:shd w:val="clear" w:color="auto" w:fill="auto"/>
              <w:spacing w:before="0" w:after="0"/>
              <w:ind w:left="0"/>
              <w:jc w:val="center"/>
              <w:rPr>
                <w:b w:val="0"/>
                <w:bCs/>
              </w:rPr>
            </w:pPr>
            <w:r>
              <w:rPr>
                <w:b w:val="0"/>
                <w:bCs/>
              </w:rPr>
              <w:t>3</w:t>
            </w:r>
          </w:p>
        </w:tc>
        <w:tc>
          <w:tcPr>
            <w:tcW w:w="0" w:type="auto"/>
            <w:shd w:val="clear" w:color="auto" w:fill="auto"/>
          </w:tcPr>
          <w:p w14:paraId="710350D2" w14:textId="08464339" w:rsidR="00316D0A" w:rsidRPr="00C41775" w:rsidRDefault="00316D0A" w:rsidP="00A93BA5">
            <w:pPr>
              <w:pStyle w:val="Heading5"/>
              <w:shd w:val="clear" w:color="auto" w:fill="auto"/>
              <w:spacing w:before="0" w:after="0"/>
              <w:ind w:left="0"/>
              <w:rPr>
                <w:b w:val="0"/>
                <w:bCs/>
              </w:rPr>
            </w:pPr>
            <w:r w:rsidRPr="00316D0A">
              <w:rPr>
                <w:b w:val="0"/>
                <w:bCs/>
              </w:rPr>
              <w:t>PowerPoint summary of the Assessment TOR (Objectives, Methods, and Planning steps) (English and French)</w:t>
            </w:r>
          </w:p>
        </w:tc>
      </w:tr>
      <w:tr w:rsidR="00316D0A" w14:paraId="0FF0FAE0" w14:textId="77777777" w:rsidTr="00E3773F">
        <w:tc>
          <w:tcPr>
            <w:tcW w:w="0" w:type="auto"/>
            <w:shd w:val="clear" w:color="auto" w:fill="auto"/>
            <w:vAlign w:val="center"/>
          </w:tcPr>
          <w:p w14:paraId="77F6B394" w14:textId="55F588B2" w:rsidR="00316D0A" w:rsidRDefault="00316D0A" w:rsidP="00316D0A">
            <w:pPr>
              <w:pStyle w:val="Heading5"/>
              <w:shd w:val="clear" w:color="auto" w:fill="auto"/>
              <w:spacing w:before="0" w:after="0"/>
              <w:ind w:left="0"/>
              <w:jc w:val="center"/>
              <w:rPr>
                <w:b w:val="0"/>
                <w:bCs/>
              </w:rPr>
            </w:pPr>
            <w:r>
              <w:rPr>
                <w:b w:val="0"/>
                <w:bCs/>
              </w:rPr>
              <w:t>4</w:t>
            </w:r>
          </w:p>
        </w:tc>
        <w:tc>
          <w:tcPr>
            <w:tcW w:w="0" w:type="auto"/>
            <w:shd w:val="clear" w:color="auto" w:fill="auto"/>
          </w:tcPr>
          <w:p w14:paraId="4E5437E4" w14:textId="1EF23209" w:rsidR="00316D0A" w:rsidRPr="00316D0A" w:rsidRDefault="00316D0A" w:rsidP="00A93BA5">
            <w:pPr>
              <w:pStyle w:val="Heading5"/>
              <w:shd w:val="clear" w:color="auto" w:fill="auto"/>
              <w:spacing w:before="0" w:after="0"/>
              <w:ind w:left="0"/>
              <w:rPr>
                <w:b w:val="0"/>
                <w:bCs/>
              </w:rPr>
            </w:pPr>
            <w:r w:rsidRPr="00316D0A">
              <w:rPr>
                <w:b w:val="0"/>
                <w:bCs/>
              </w:rPr>
              <w:t>Sample Key Informant Interview Planning Table</w:t>
            </w:r>
          </w:p>
        </w:tc>
      </w:tr>
      <w:tr w:rsidR="00316D0A" w14:paraId="66E01873" w14:textId="77777777" w:rsidTr="00E3773F">
        <w:tc>
          <w:tcPr>
            <w:tcW w:w="0" w:type="auto"/>
            <w:shd w:val="clear" w:color="auto" w:fill="auto"/>
            <w:vAlign w:val="center"/>
          </w:tcPr>
          <w:p w14:paraId="4C8D63E8" w14:textId="4789EF2D" w:rsidR="00316D0A" w:rsidRDefault="00316D0A" w:rsidP="00316D0A">
            <w:pPr>
              <w:pStyle w:val="Heading5"/>
              <w:shd w:val="clear" w:color="auto" w:fill="auto"/>
              <w:spacing w:before="0" w:after="0"/>
              <w:ind w:left="0"/>
              <w:jc w:val="center"/>
              <w:rPr>
                <w:b w:val="0"/>
                <w:bCs/>
              </w:rPr>
            </w:pPr>
            <w:r>
              <w:rPr>
                <w:b w:val="0"/>
                <w:bCs/>
              </w:rPr>
              <w:t>5</w:t>
            </w:r>
          </w:p>
        </w:tc>
        <w:tc>
          <w:tcPr>
            <w:tcW w:w="0" w:type="auto"/>
            <w:shd w:val="clear" w:color="auto" w:fill="auto"/>
          </w:tcPr>
          <w:p w14:paraId="673E94D2" w14:textId="6ED3D15E" w:rsidR="00316D0A" w:rsidRPr="00316D0A" w:rsidRDefault="00316D0A" w:rsidP="00A93BA5">
            <w:pPr>
              <w:pStyle w:val="Heading5"/>
              <w:shd w:val="clear" w:color="auto" w:fill="auto"/>
              <w:spacing w:before="0" w:after="0"/>
              <w:ind w:left="0"/>
              <w:rPr>
                <w:b w:val="0"/>
                <w:bCs/>
              </w:rPr>
            </w:pPr>
            <w:r w:rsidRPr="00316D0A">
              <w:rPr>
                <w:b w:val="0"/>
                <w:bCs/>
              </w:rPr>
              <w:t>Sample MOH/NMP letter Inviting Key Stakeholders to Participate</w:t>
            </w:r>
          </w:p>
        </w:tc>
      </w:tr>
      <w:tr w:rsidR="00316D0A" w14:paraId="32E3804D" w14:textId="77777777" w:rsidTr="00E3773F">
        <w:tc>
          <w:tcPr>
            <w:tcW w:w="0" w:type="auto"/>
            <w:shd w:val="clear" w:color="auto" w:fill="auto"/>
            <w:vAlign w:val="center"/>
          </w:tcPr>
          <w:p w14:paraId="587CC4F6" w14:textId="11A97B60" w:rsidR="00316D0A" w:rsidRDefault="00316D0A" w:rsidP="00316D0A">
            <w:pPr>
              <w:pStyle w:val="Heading5"/>
              <w:shd w:val="clear" w:color="auto" w:fill="auto"/>
              <w:spacing w:before="0" w:after="0"/>
              <w:ind w:left="0"/>
              <w:jc w:val="center"/>
              <w:rPr>
                <w:b w:val="0"/>
                <w:bCs/>
              </w:rPr>
            </w:pPr>
            <w:r>
              <w:rPr>
                <w:b w:val="0"/>
                <w:bCs/>
              </w:rPr>
              <w:t>6</w:t>
            </w:r>
          </w:p>
        </w:tc>
        <w:tc>
          <w:tcPr>
            <w:tcW w:w="0" w:type="auto"/>
            <w:shd w:val="clear" w:color="auto" w:fill="auto"/>
          </w:tcPr>
          <w:p w14:paraId="459CFEB0" w14:textId="79C47AA0" w:rsidR="00316D0A" w:rsidRPr="00316D0A" w:rsidRDefault="00316D0A" w:rsidP="00A93BA5">
            <w:pPr>
              <w:pStyle w:val="Heading5"/>
              <w:shd w:val="clear" w:color="auto" w:fill="auto"/>
              <w:spacing w:before="0" w:after="0"/>
              <w:ind w:left="0"/>
              <w:rPr>
                <w:b w:val="0"/>
                <w:bCs/>
              </w:rPr>
            </w:pPr>
            <w:r w:rsidRPr="00316D0A">
              <w:rPr>
                <w:b w:val="0"/>
                <w:bCs/>
              </w:rPr>
              <w:t>Assessment team roles and responsibilities (from TOR)</w:t>
            </w:r>
          </w:p>
        </w:tc>
      </w:tr>
      <w:tr w:rsidR="00316D0A" w14:paraId="6847C867" w14:textId="77777777" w:rsidTr="00E3773F">
        <w:tc>
          <w:tcPr>
            <w:tcW w:w="0" w:type="auto"/>
            <w:shd w:val="clear" w:color="auto" w:fill="auto"/>
            <w:vAlign w:val="center"/>
          </w:tcPr>
          <w:p w14:paraId="618C2C1D" w14:textId="2DEEC62D" w:rsidR="00316D0A" w:rsidRDefault="00316D0A" w:rsidP="00316D0A">
            <w:pPr>
              <w:pStyle w:val="Heading5"/>
              <w:shd w:val="clear" w:color="auto" w:fill="auto"/>
              <w:spacing w:before="0" w:after="0"/>
              <w:ind w:left="0"/>
              <w:jc w:val="center"/>
              <w:rPr>
                <w:b w:val="0"/>
                <w:bCs/>
              </w:rPr>
            </w:pPr>
            <w:r>
              <w:rPr>
                <w:b w:val="0"/>
                <w:bCs/>
              </w:rPr>
              <w:t>7</w:t>
            </w:r>
          </w:p>
        </w:tc>
        <w:tc>
          <w:tcPr>
            <w:tcW w:w="0" w:type="auto"/>
            <w:shd w:val="clear" w:color="auto" w:fill="auto"/>
          </w:tcPr>
          <w:p w14:paraId="59854227" w14:textId="475D56EB" w:rsidR="00316D0A" w:rsidRPr="00316D0A" w:rsidRDefault="00316D0A" w:rsidP="00A93BA5">
            <w:pPr>
              <w:pStyle w:val="Heading5"/>
              <w:shd w:val="clear" w:color="auto" w:fill="auto"/>
              <w:spacing w:before="0" w:after="0"/>
              <w:ind w:left="0"/>
              <w:rPr>
                <w:b w:val="0"/>
                <w:bCs/>
              </w:rPr>
            </w:pPr>
            <w:r w:rsidRPr="00316D0A">
              <w:rPr>
                <w:b w:val="0"/>
                <w:bCs/>
              </w:rPr>
              <w:t>Sample Assessment team Level of Effort table (from TOR)</w:t>
            </w:r>
          </w:p>
        </w:tc>
      </w:tr>
    </w:tbl>
    <w:p w14:paraId="503AFB8F" w14:textId="20CEC4B1" w:rsidR="007D15A4" w:rsidRDefault="009F5E10" w:rsidP="001C67B3">
      <w:pPr>
        <w:pStyle w:val="Heading2"/>
      </w:pPr>
      <w:bookmarkStart w:id="46" w:name="_Toc43130674"/>
      <w:bookmarkEnd w:id="45"/>
      <w:r>
        <w:t xml:space="preserve">Assessment </w:t>
      </w:r>
      <w:r w:rsidR="007D15A4">
        <w:t>Implementation</w:t>
      </w:r>
      <w:bookmarkEnd w:id="46"/>
      <w:r w:rsidR="007D15A4">
        <w:t xml:space="preserve"> </w:t>
      </w:r>
    </w:p>
    <w:p w14:paraId="506E1FDB" w14:textId="23E6A071" w:rsidR="00061B00" w:rsidRDefault="00C91C0D" w:rsidP="00061B00">
      <w:pPr>
        <w:pStyle w:val="Heading3"/>
      </w:pPr>
      <w:bookmarkStart w:id="47" w:name="_Toc43130675"/>
      <w:r>
        <w:t xml:space="preserve">Step </w:t>
      </w:r>
      <w:r w:rsidR="00446F1A">
        <w:t>F</w:t>
      </w:r>
      <w:r>
        <w:t xml:space="preserve">ive: Conduct </w:t>
      </w:r>
      <w:r w:rsidR="007D15A4">
        <w:t>Stakeholder Meetings</w:t>
      </w:r>
      <w:bookmarkEnd w:id="47"/>
      <w:r w:rsidR="007D15A4">
        <w:t xml:space="preserve"> </w:t>
      </w:r>
    </w:p>
    <w:p w14:paraId="54EE15C6" w14:textId="7ADDA792" w:rsidR="006E6CDB" w:rsidRDefault="00D80330" w:rsidP="008D6F3B">
      <w:pPr>
        <w:pStyle w:val="NoSpacing"/>
        <w:spacing w:before="120" w:after="120"/>
        <w:jc w:val="both"/>
        <w:rPr>
          <w:rFonts w:ascii="Garamond" w:hAnsi="Garamond" w:cs="Times New Roman"/>
          <w:color w:val="000000" w:themeColor="text1"/>
          <w:lang w:val="en"/>
        </w:rPr>
      </w:pPr>
      <w:r w:rsidRPr="00D220A2">
        <w:rPr>
          <w:rFonts w:ascii="Garamond" w:hAnsi="Garamond" w:cs="Times New Roman"/>
          <w:b/>
          <w:bCs/>
          <w:color w:val="000000" w:themeColor="text1"/>
          <w:lang w:val="en"/>
        </w:rPr>
        <w:t xml:space="preserve">In-briefing meetings. </w:t>
      </w:r>
      <w:r w:rsidR="00BB79A7">
        <w:rPr>
          <w:rFonts w:ascii="Garamond" w:hAnsi="Garamond" w:cs="Times New Roman"/>
          <w:color w:val="000000" w:themeColor="text1"/>
          <w:lang w:val="en"/>
        </w:rPr>
        <w:t>Prior to</w:t>
      </w:r>
      <w:r w:rsidR="006E6CDB" w:rsidRPr="00D220A2">
        <w:rPr>
          <w:rFonts w:ascii="Garamond" w:hAnsi="Garamond" w:cs="Times New Roman"/>
          <w:color w:val="000000" w:themeColor="text1"/>
          <w:lang w:val="en"/>
        </w:rPr>
        <w:t xml:space="preserve"> arrival in country, the assessment team should </w:t>
      </w:r>
      <w:r w:rsidR="00BB79A7">
        <w:rPr>
          <w:rFonts w:ascii="Garamond" w:hAnsi="Garamond" w:cs="Times New Roman"/>
          <w:color w:val="000000" w:themeColor="text1"/>
          <w:lang w:val="en"/>
        </w:rPr>
        <w:t>arrange</w:t>
      </w:r>
      <w:r w:rsidR="006E6CDB" w:rsidRPr="00D220A2">
        <w:rPr>
          <w:rFonts w:ascii="Garamond" w:hAnsi="Garamond" w:cs="Times New Roman"/>
          <w:color w:val="000000" w:themeColor="text1"/>
          <w:lang w:val="en"/>
        </w:rPr>
        <w:t xml:space="preserve"> for in-briefing meetings </w:t>
      </w:r>
      <w:r w:rsidR="00BB79A7">
        <w:rPr>
          <w:rFonts w:ascii="Garamond" w:hAnsi="Garamond" w:cs="Times New Roman"/>
          <w:color w:val="000000" w:themeColor="text1"/>
          <w:lang w:val="en"/>
        </w:rPr>
        <w:t xml:space="preserve">on days one or two in country </w:t>
      </w:r>
      <w:r w:rsidR="006E6CDB" w:rsidRPr="00D220A2">
        <w:rPr>
          <w:rFonts w:ascii="Garamond" w:hAnsi="Garamond" w:cs="Times New Roman"/>
          <w:color w:val="000000" w:themeColor="text1"/>
          <w:lang w:val="en"/>
        </w:rPr>
        <w:t xml:space="preserve">with: </w:t>
      </w:r>
    </w:p>
    <w:p w14:paraId="76BD686A" w14:textId="77777777" w:rsidR="008D6F3B" w:rsidRPr="008D6F3B" w:rsidRDefault="006E6CDB" w:rsidP="008D6F3B">
      <w:pPr>
        <w:pStyle w:val="1-Bullet"/>
        <w:rPr>
          <w:b w:val="0"/>
          <w:bCs/>
          <w:szCs w:val="22"/>
        </w:rPr>
      </w:pPr>
      <w:r w:rsidRPr="008D6F3B">
        <w:rPr>
          <w:b w:val="0"/>
          <w:bCs/>
          <w:color w:val="000000" w:themeColor="text1"/>
          <w:lang w:val="en"/>
        </w:rPr>
        <w:t>NMP Coordinator or her/his designate</w:t>
      </w:r>
    </w:p>
    <w:p w14:paraId="120F35C0" w14:textId="07F78280" w:rsidR="008D6F3B" w:rsidRPr="008D6F3B" w:rsidRDefault="006E6CDB" w:rsidP="008D6F3B">
      <w:pPr>
        <w:pStyle w:val="1-Bullet"/>
        <w:rPr>
          <w:b w:val="0"/>
          <w:bCs/>
          <w:szCs w:val="22"/>
        </w:rPr>
      </w:pPr>
      <w:r w:rsidRPr="008D6F3B">
        <w:rPr>
          <w:b w:val="0"/>
          <w:bCs/>
          <w:color w:val="000000" w:themeColor="text1"/>
          <w:lang w:val="en"/>
        </w:rPr>
        <w:t xml:space="preserve">PMI health, malaria, and/or supply chain focal points </w:t>
      </w:r>
    </w:p>
    <w:p w14:paraId="530EB5DD" w14:textId="6771C13D" w:rsidR="006E6CDB" w:rsidRPr="008D6F3B" w:rsidRDefault="006E6CDB" w:rsidP="008D6F3B">
      <w:pPr>
        <w:pStyle w:val="1-Bullet"/>
        <w:rPr>
          <w:b w:val="0"/>
          <w:bCs/>
          <w:szCs w:val="22"/>
        </w:rPr>
      </w:pPr>
      <w:r w:rsidRPr="008D6F3B">
        <w:rPr>
          <w:b w:val="0"/>
          <w:bCs/>
          <w:color w:val="000000" w:themeColor="text1"/>
          <w:lang w:val="en"/>
        </w:rPr>
        <w:t>Other donor or technical agencies, outside of the key informant interview schedule</w:t>
      </w:r>
    </w:p>
    <w:p w14:paraId="597C6D8C" w14:textId="5642A810" w:rsidR="00061B00" w:rsidRPr="008D6F3B" w:rsidRDefault="00D80330" w:rsidP="008D6F3B">
      <w:pPr>
        <w:pStyle w:val="NoSpacing"/>
        <w:spacing w:before="120" w:after="120"/>
        <w:jc w:val="both"/>
        <w:rPr>
          <w:rFonts w:ascii="Garamond" w:hAnsi="Garamond" w:cs="Times New Roman"/>
          <w:color w:val="000000" w:themeColor="text1"/>
        </w:rPr>
      </w:pPr>
      <w:r w:rsidRPr="00D220A2">
        <w:rPr>
          <w:rFonts w:ascii="Garamond" w:hAnsi="Garamond" w:cs="Times New Roman"/>
          <w:b/>
          <w:bCs/>
          <w:color w:val="000000" w:themeColor="text1"/>
          <w:lang w:val="en"/>
        </w:rPr>
        <w:t xml:space="preserve">Introductory stakeholder meetings. </w:t>
      </w:r>
      <w:r w:rsidR="00F17FF0">
        <w:rPr>
          <w:rFonts w:ascii="Garamond" w:hAnsi="Garamond" w:cs="Times New Roman"/>
          <w:b/>
          <w:bCs/>
          <w:color w:val="000000" w:themeColor="text1"/>
          <w:lang w:val="en"/>
        </w:rPr>
        <w:t xml:space="preserve"> </w:t>
      </w:r>
      <w:r w:rsidR="00BB79A7">
        <w:rPr>
          <w:rFonts w:ascii="Garamond" w:hAnsi="Garamond"/>
          <w:color w:val="000000" w:themeColor="text1"/>
          <w:lang w:val="en"/>
        </w:rPr>
        <w:t>Prior to arrival,</w:t>
      </w:r>
      <w:r w:rsidR="00FC571B" w:rsidRPr="00D220A2">
        <w:rPr>
          <w:rFonts w:ascii="Garamond" w:hAnsi="Garamond"/>
          <w:color w:val="000000" w:themeColor="text1"/>
          <w:lang w:val="en"/>
        </w:rPr>
        <w:t xml:space="preserve"> the assessment team </w:t>
      </w:r>
      <w:r w:rsidR="004E5235">
        <w:rPr>
          <w:rFonts w:ascii="Garamond" w:hAnsi="Garamond"/>
          <w:color w:val="000000" w:themeColor="text1"/>
          <w:lang w:val="en"/>
        </w:rPr>
        <w:t>and NMP organize</w:t>
      </w:r>
      <w:r w:rsidR="00572670">
        <w:rPr>
          <w:rFonts w:ascii="Garamond" w:hAnsi="Garamond"/>
          <w:color w:val="000000" w:themeColor="text1"/>
          <w:lang w:val="en"/>
        </w:rPr>
        <w:t xml:space="preserve"> </w:t>
      </w:r>
      <w:r w:rsidR="007D4BBF">
        <w:rPr>
          <w:rFonts w:ascii="Garamond" w:hAnsi="Garamond"/>
          <w:color w:val="000000" w:themeColor="text1"/>
          <w:lang w:val="en"/>
        </w:rPr>
        <w:t xml:space="preserve">an introductory </w:t>
      </w:r>
      <w:r w:rsidRPr="00D220A2">
        <w:rPr>
          <w:rFonts w:ascii="Garamond" w:hAnsi="Garamond"/>
          <w:color w:val="000000" w:themeColor="text1"/>
          <w:lang w:val="en"/>
        </w:rPr>
        <w:t>meeting with malaria stakeholders to present the assessment overview.</w:t>
      </w:r>
      <w:r w:rsidR="00F17FF0">
        <w:rPr>
          <w:rFonts w:ascii="Garamond" w:hAnsi="Garamond"/>
          <w:color w:val="000000" w:themeColor="text1"/>
          <w:lang w:val="en"/>
        </w:rPr>
        <w:t xml:space="preserve"> </w:t>
      </w:r>
      <w:r w:rsidR="00FC571B" w:rsidRPr="00D220A2">
        <w:rPr>
          <w:rFonts w:ascii="Garamond" w:hAnsi="Garamond"/>
          <w:color w:val="000000" w:themeColor="text1"/>
          <w:lang w:val="en"/>
        </w:rPr>
        <w:t xml:space="preserve"> </w:t>
      </w:r>
      <w:r w:rsidRPr="00D220A2">
        <w:rPr>
          <w:rFonts w:ascii="Garamond" w:hAnsi="Garamond"/>
          <w:color w:val="000000" w:themeColor="text1"/>
        </w:rPr>
        <w:t xml:space="preserve">This meeting </w:t>
      </w:r>
      <w:r w:rsidR="007D4BBF">
        <w:rPr>
          <w:rFonts w:ascii="Garamond" w:hAnsi="Garamond"/>
          <w:color w:val="000000" w:themeColor="text1"/>
        </w:rPr>
        <w:t>is</w:t>
      </w:r>
      <w:r w:rsidRPr="00D220A2">
        <w:rPr>
          <w:rFonts w:ascii="Garamond" w:hAnsi="Garamond"/>
          <w:color w:val="000000" w:themeColor="text1"/>
        </w:rPr>
        <w:t xml:space="preserve"> convened and chaired by the NMP, with presentations by NMP and assessment team </w:t>
      </w:r>
      <w:r w:rsidR="007D4BBF">
        <w:rPr>
          <w:rFonts w:ascii="Garamond" w:hAnsi="Garamond"/>
          <w:color w:val="000000" w:themeColor="text1"/>
        </w:rPr>
        <w:t>members</w:t>
      </w:r>
      <w:r w:rsidRPr="00D220A2">
        <w:rPr>
          <w:rFonts w:ascii="Garamond" w:hAnsi="Garamond"/>
          <w:color w:val="000000" w:themeColor="text1"/>
        </w:rPr>
        <w:t xml:space="preserve">. </w:t>
      </w:r>
      <w:r w:rsidR="00F17FF0">
        <w:rPr>
          <w:rFonts w:ascii="Garamond" w:hAnsi="Garamond"/>
          <w:color w:val="000000" w:themeColor="text1"/>
        </w:rPr>
        <w:t xml:space="preserve"> </w:t>
      </w:r>
      <w:r w:rsidRPr="00D220A2">
        <w:rPr>
          <w:rFonts w:ascii="Garamond" w:hAnsi="Garamond" w:cs="Times New Roman"/>
          <w:color w:val="000000" w:themeColor="text1"/>
          <w:lang w:val="en"/>
        </w:rPr>
        <w:t xml:space="preserve">The </w:t>
      </w:r>
      <w:r w:rsidR="00BA0C74">
        <w:rPr>
          <w:rFonts w:ascii="Garamond" w:hAnsi="Garamond" w:cs="Times New Roman"/>
          <w:color w:val="000000" w:themeColor="text1"/>
          <w:lang w:val="en"/>
        </w:rPr>
        <w:t>NMP</w:t>
      </w:r>
      <w:r w:rsidRPr="00D220A2">
        <w:rPr>
          <w:rFonts w:ascii="Garamond" w:hAnsi="Garamond" w:cs="Times New Roman"/>
          <w:color w:val="000000" w:themeColor="text1"/>
          <w:lang w:val="en"/>
        </w:rPr>
        <w:t xml:space="preserve"> presentation may include a summary of national vector control and ITN priorities and the justification for the assessment, or other priority information as determined by the NMP Coordinator. </w:t>
      </w:r>
      <w:r w:rsidR="00F17FF0">
        <w:rPr>
          <w:rFonts w:ascii="Garamond" w:hAnsi="Garamond" w:cs="Times New Roman"/>
          <w:color w:val="000000" w:themeColor="text1"/>
          <w:lang w:val="en"/>
        </w:rPr>
        <w:t xml:space="preserve"> </w:t>
      </w:r>
      <w:r w:rsidRPr="00D220A2">
        <w:rPr>
          <w:rFonts w:ascii="Garamond" w:hAnsi="Garamond" w:cs="Times New Roman"/>
          <w:color w:val="000000" w:themeColor="text1"/>
          <w:lang w:val="en"/>
        </w:rPr>
        <w:t xml:space="preserve">The assessment team </w:t>
      </w:r>
      <w:r w:rsidR="007D4BBF">
        <w:rPr>
          <w:rFonts w:ascii="Garamond" w:hAnsi="Garamond" w:cs="Times New Roman"/>
          <w:color w:val="000000" w:themeColor="text1"/>
          <w:lang w:val="en"/>
        </w:rPr>
        <w:t>may</w:t>
      </w:r>
      <w:r w:rsidRPr="00D220A2">
        <w:rPr>
          <w:rFonts w:ascii="Garamond" w:hAnsi="Garamond" w:cs="Times New Roman"/>
          <w:color w:val="000000" w:themeColor="text1"/>
          <w:lang w:val="en"/>
        </w:rPr>
        <w:t xml:space="preserve"> present </w:t>
      </w:r>
      <w:r w:rsidRPr="00D220A2">
        <w:rPr>
          <w:rFonts w:ascii="Garamond" w:hAnsi="Garamond"/>
          <w:color w:val="000000" w:themeColor="text1"/>
          <w:lang w:val="en"/>
        </w:rPr>
        <w:t>assessment</w:t>
      </w:r>
      <w:r w:rsidRPr="00D220A2">
        <w:rPr>
          <w:rFonts w:ascii="Garamond" w:hAnsi="Garamond"/>
          <w:color w:val="000000" w:themeColor="text1"/>
        </w:rPr>
        <w:t xml:space="preserve"> objectives, methods, KII, and calendar.</w:t>
      </w:r>
      <w:r w:rsidR="00F17FF0">
        <w:rPr>
          <w:rFonts w:ascii="Garamond" w:hAnsi="Garamond"/>
          <w:color w:val="000000" w:themeColor="text1"/>
        </w:rPr>
        <w:t xml:space="preserve"> </w:t>
      </w:r>
      <w:r w:rsidRPr="00D220A2">
        <w:rPr>
          <w:rFonts w:ascii="Garamond" w:hAnsi="Garamond"/>
          <w:color w:val="000000" w:themeColor="text1"/>
        </w:rPr>
        <w:t xml:space="preserve"> The </w:t>
      </w:r>
      <w:r w:rsidR="007D4BBF">
        <w:rPr>
          <w:rFonts w:ascii="Garamond" w:hAnsi="Garamond"/>
          <w:color w:val="000000" w:themeColor="text1"/>
        </w:rPr>
        <w:t xml:space="preserve">assessment team will also field </w:t>
      </w:r>
      <w:r w:rsidR="007D4BBF" w:rsidRPr="007D4BBF">
        <w:rPr>
          <w:rFonts w:ascii="Garamond" w:hAnsi="Garamond"/>
          <w:color w:val="000000" w:themeColor="text1"/>
        </w:rPr>
        <w:t>and</w:t>
      </w:r>
      <w:r w:rsidRPr="007D4BBF">
        <w:rPr>
          <w:rFonts w:ascii="Garamond" w:hAnsi="Garamond"/>
          <w:color w:val="000000" w:themeColor="text1"/>
        </w:rPr>
        <w:t xml:space="preserve"> </w:t>
      </w:r>
      <w:r w:rsidRPr="007D4BBF">
        <w:rPr>
          <w:rFonts w:ascii="Garamond" w:hAnsi="Garamond" w:cs="Times New Roman"/>
          <w:color w:val="000000" w:themeColor="text1"/>
          <w:lang w:val="en"/>
        </w:rPr>
        <w:t>r</w:t>
      </w:r>
      <w:proofErr w:type="spellStart"/>
      <w:r w:rsidRPr="00D220A2">
        <w:rPr>
          <w:rFonts w:ascii="Garamond" w:hAnsi="Garamond" w:cs="Times New Roman"/>
          <w:color w:val="000000" w:themeColor="text1"/>
        </w:rPr>
        <w:t>espond</w:t>
      </w:r>
      <w:proofErr w:type="spellEnd"/>
      <w:r w:rsidRPr="00D220A2">
        <w:rPr>
          <w:rFonts w:ascii="Garamond" w:hAnsi="Garamond" w:cs="Times New Roman"/>
          <w:color w:val="000000" w:themeColor="text1"/>
        </w:rPr>
        <w:t xml:space="preserve"> to questions and concerns and </w:t>
      </w:r>
      <w:r w:rsidR="00A65B64">
        <w:rPr>
          <w:rFonts w:ascii="Garamond" w:hAnsi="Garamond" w:cs="Times New Roman"/>
          <w:color w:val="000000" w:themeColor="text1"/>
        </w:rPr>
        <w:t>may</w:t>
      </w:r>
      <w:r w:rsidRPr="00D220A2">
        <w:rPr>
          <w:rFonts w:ascii="Garamond" w:hAnsi="Garamond" w:cs="Times New Roman"/>
          <w:color w:val="000000" w:themeColor="text1"/>
        </w:rPr>
        <w:t xml:space="preserve"> revise the assessment approach as needed to align with context and feedback from stakeholders. </w:t>
      </w:r>
      <w:r w:rsidR="00F17FF0">
        <w:rPr>
          <w:rFonts w:ascii="Garamond" w:hAnsi="Garamond" w:cs="Times New Roman"/>
          <w:color w:val="000000" w:themeColor="text1"/>
        </w:rPr>
        <w:t xml:space="preserve"> </w:t>
      </w:r>
      <w:r w:rsidR="000E673D">
        <w:rPr>
          <w:rFonts w:ascii="Garamond" w:hAnsi="Garamond" w:cs="Times New Roman"/>
          <w:color w:val="000000" w:themeColor="text1"/>
        </w:rPr>
        <w:t>Tool 8 is a suggested agenda for the Introductory Stakeholder Meeting.</w:t>
      </w:r>
    </w:p>
    <w:p w14:paraId="2DA47B68" w14:textId="32513BF4" w:rsidR="007D15A4" w:rsidRPr="007D15A4" w:rsidRDefault="00C91C0D" w:rsidP="007D15A4">
      <w:pPr>
        <w:pStyle w:val="Heading3"/>
      </w:pPr>
      <w:bookmarkStart w:id="48" w:name="_Toc43130676"/>
      <w:r>
        <w:lastRenderedPageBreak/>
        <w:t xml:space="preserve">Step Six: Conduct </w:t>
      </w:r>
      <w:r w:rsidR="00CC4A6F">
        <w:t>K</w:t>
      </w:r>
      <w:r w:rsidR="00823635">
        <w:t xml:space="preserve">ey </w:t>
      </w:r>
      <w:r w:rsidR="00CC4A6F">
        <w:t>I</w:t>
      </w:r>
      <w:r w:rsidR="00823635">
        <w:t xml:space="preserve">nformant </w:t>
      </w:r>
      <w:r w:rsidR="00CC4A6F">
        <w:t>I</w:t>
      </w:r>
      <w:r w:rsidR="00823635">
        <w:t>nterviews</w:t>
      </w:r>
      <w:bookmarkEnd w:id="34"/>
      <w:bookmarkEnd w:id="48"/>
    </w:p>
    <w:p w14:paraId="68CD1297" w14:textId="213EF69A" w:rsidR="008F692E" w:rsidRPr="008D6F3B" w:rsidRDefault="008F692E" w:rsidP="008D6F3B">
      <w:pPr>
        <w:spacing w:before="120" w:after="120" w:line="259" w:lineRule="auto"/>
        <w:jc w:val="both"/>
        <w:rPr>
          <w:rFonts w:ascii="Garamond" w:eastAsiaTheme="minorHAnsi" w:hAnsi="Garamond"/>
          <w:color w:val="000000" w:themeColor="text1"/>
          <w:sz w:val="22"/>
          <w:szCs w:val="22"/>
        </w:rPr>
      </w:pPr>
      <w:r w:rsidRPr="008D6F3B">
        <w:rPr>
          <w:rFonts w:ascii="Garamond" w:eastAsiaTheme="minorHAnsi" w:hAnsi="Garamond"/>
          <w:color w:val="000000" w:themeColor="text1"/>
          <w:sz w:val="22"/>
          <w:szCs w:val="22"/>
        </w:rPr>
        <w:t>The assessment uses a combination of key informant interviews, record and document review, and observations</w:t>
      </w:r>
      <w:r w:rsidR="00DA1C87" w:rsidRPr="008D6F3B">
        <w:rPr>
          <w:rFonts w:ascii="Garamond" w:eastAsiaTheme="minorHAnsi" w:hAnsi="Garamond"/>
          <w:color w:val="000000" w:themeColor="text1"/>
          <w:sz w:val="22"/>
          <w:szCs w:val="22"/>
        </w:rPr>
        <w:t xml:space="preserve">. </w:t>
      </w:r>
      <w:r w:rsidR="00F17FF0" w:rsidRPr="008D6F3B">
        <w:rPr>
          <w:rFonts w:ascii="Garamond" w:eastAsiaTheme="minorHAnsi" w:hAnsi="Garamond"/>
          <w:color w:val="000000" w:themeColor="text1"/>
          <w:sz w:val="22"/>
          <w:szCs w:val="22"/>
        </w:rPr>
        <w:t xml:space="preserve"> </w:t>
      </w:r>
      <w:r w:rsidR="00DA1C87" w:rsidRPr="008D6F3B">
        <w:rPr>
          <w:rFonts w:ascii="Garamond" w:eastAsiaTheme="minorHAnsi" w:hAnsi="Garamond"/>
          <w:color w:val="000000" w:themeColor="text1"/>
          <w:sz w:val="22"/>
          <w:szCs w:val="22"/>
        </w:rPr>
        <w:t>D</w:t>
      </w:r>
      <w:r w:rsidRPr="008D6F3B">
        <w:rPr>
          <w:rFonts w:ascii="Garamond" w:eastAsiaTheme="minorHAnsi" w:hAnsi="Garamond"/>
          <w:color w:val="000000" w:themeColor="text1"/>
          <w:sz w:val="22"/>
          <w:szCs w:val="22"/>
        </w:rPr>
        <w:t xml:space="preserve">ata collection </w:t>
      </w:r>
      <w:r w:rsidR="00DA1C87" w:rsidRPr="008D6F3B">
        <w:rPr>
          <w:rFonts w:ascii="Garamond" w:eastAsiaTheme="minorHAnsi" w:hAnsi="Garamond"/>
          <w:color w:val="000000" w:themeColor="text1"/>
          <w:sz w:val="22"/>
          <w:szCs w:val="22"/>
        </w:rPr>
        <w:t xml:space="preserve">is </w:t>
      </w:r>
      <w:r w:rsidRPr="008D6F3B">
        <w:rPr>
          <w:rFonts w:ascii="Garamond" w:eastAsiaTheme="minorHAnsi" w:hAnsi="Garamond"/>
          <w:color w:val="000000" w:themeColor="text1"/>
          <w:sz w:val="22"/>
          <w:szCs w:val="22"/>
        </w:rPr>
        <w:t xml:space="preserve">mainly driven by the </w:t>
      </w:r>
      <w:r w:rsidR="003E5E56" w:rsidRPr="008D6F3B">
        <w:rPr>
          <w:rFonts w:ascii="Garamond" w:eastAsiaTheme="minorHAnsi" w:hAnsi="Garamond"/>
          <w:color w:val="000000" w:themeColor="text1"/>
          <w:sz w:val="22"/>
          <w:szCs w:val="22"/>
        </w:rPr>
        <w:t>KIIs</w:t>
      </w:r>
      <w:r w:rsidRPr="008D6F3B">
        <w:rPr>
          <w:rFonts w:ascii="Garamond" w:eastAsiaTheme="minorHAnsi" w:hAnsi="Garamond"/>
          <w:color w:val="000000" w:themeColor="text1"/>
          <w:sz w:val="22"/>
          <w:szCs w:val="22"/>
        </w:rPr>
        <w:t xml:space="preserve">, </w:t>
      </w:r>
      <w:r w:rsidR="00A84A83" w:rsidRPr="008D6F3B">
        <w:rPr>
          <w:rFonts w:ascii="Garamond" w:eastAsiaTheme="minorHAnsi" w:hAnsi="Garamond"/>
          <w:color w:val="000000" w:themeColor="text1"/>
          <w:sz w:val="22"/>
          <w:szCs w:val="22"/>
        </w:rPr>
        <w:t>through the</w:t>
      </w:r>
      <w:r w:rsidRPr="008D6F3B">
        <w:rPr>
          <w:rFonts w:ascii="Garamond" w:eastAsiaTheme="minorHAnsi" w:hAnsi="Garamond"/>
          <w:color w:val="000000" w:themeColor="text1"/>
          <w:sz w:val="22"/>
          <w:szCs w:val="22"/>
        </w:rPr>
        <w:t xml:space="preserve"> semi-structured discussion guide</w:t>
      </w:r>
      <w:r w:rsidR="00A84A83" w:rsidRPr="008D6F3B">
        <w:rPr>
          <w:rFonts w:ascii="Garamond" w:eastAsiaTheme="minorHAnsi" w:hAnsi="Garamond"/>
          <w:color w:val="000000" w:themeColor="text1"/>
          <w:sz w:val="22"/>
          <w:szCs w:val="22"/>
        </w:rPr>
        <w:t xml:space="preserve"> (Tool 9)</w:t>
      </w:r>
      <w:r w:rsidRPr="008D6F3B">
        <w:rPr>
          <w:rFonts w:ascii="Garamond" w:eastAsiaTheme="minorHAnsi" w:hAnsi="Garamond"/>
          <w:color w:val="000000" w:themeColor="text1"/>
          <w:sz w:val="22"/>
          <w:szCs w:val="22"/>
        </w:rPr>
        <w:t>.</w:t>
      </w:r>
      <w:r w:rsidR="00DA1C87" w:rsidRPr="008D6F3B">
        <w:rPr>
          <w:rFonts w:ascii="Garamond" w:eastAsiaTheme="minorHAnsi" w:hAnsi="Garamond"/>
          <w:color w:val="000000" w:themeColor="text1"/>
          <w:sz w:val="22"/>
          <w:szCs w:val="22"/>
        </w:rPr>
        <w:t xml:space="preserve"> </w:t>
      </w:r>
    </w:p>
    <w:p w14:paraId="4C97014C" w14:textId="4931B8EB" w:rsidR="00F3101A" w:rsidRPr="008D6F3B" w:rsidRDefault="008F692E" w:rsidP="008D6F3B">
      <w:pPr>
        <w:pStyle w:val="NoSpacing"/>
        <w:spacing w:before="120" w:after="120"/>
        <w:jc w:val="both"/>
        <w:rPr>
          <w:rFonts w:ascii="Garamond" w:hAnsi="Garamond"/>
          <w:color w:val="000000" w:themeColor="text1"/>
          <w:lang w:val="en"/>
        </w:rPr>
      </w:pPr>
      <w:proofErr w:type="spellStart"/>
      <w:r w:rsidRPr="008D6F3B">
        <w:rPr>
          <w:rFonts w:ascii="Garamond" w:hAnsi="Garamond" w:cs="Times New Roman"/>
          <w:color w:val="000000" w:themeColor="text1"/>
        </w:rPr>
        <w:t>T</w:t>
      </w:r>
      <w:r w:rsidRPr="008D6F3B">
        <w:rPr>
          <w:rFonts w:ascii="Garamond" w:hAnsi="Garamond" w:cs="Times New Roman"/>
          <w:color w:val="000000" w:themeColor="text1"/>
          <w:lang w:val="en"/>
        </w:rPr>
        <w:t>he</w:t>
      </w:r>
      <w:proofErr w:type="spellEnd"/>
      <w:r w:rsidRPr="008D6F3B">
        <w:rPr>
          <w:rFonts w:ascii="Garamond" w:hAnsi="Garamond" w:cs="Times New Roman"/>
          <w:color w:val="000000" w:themeColor="text1"/>
          <w:lang w:val="en"/>
        </w:rPr>
        <w:t xml:space="preserve"> assessment team conducts interviews at central, regional, district, facility, and community levels. </w:t>
      </w:r>
      <w:r w:rsidR="00F17FF0" w:rsidRPr="008D6F3B">
        <w:rPr>
          <w:rFonts w:ascii="Garamond" w:hAnsi="Garamond" w:cs="Times New Roman"/>
          <w:color w:val="000000" w:themeColor="text1"/>
          <w:lang w:val="en"/>
        </w:rPr>
        <w:t xml:space="preserve"> </w:t>
      </w:r>
      <w:r w:rsidR="00A84A83" w:rsidRPr="008D6F3B">
        <w:rPr>
          <w:rFonts w:ascii="Garamond" w:hAnsi="Garamond" w:cs="Calibri"/>
          <w:color w:val="000000" w:themeColor="text1"/>
        </w:rPr>
        <w:t>For each assessment site, the a</w:t>
      </w:r>
      <w:r w:rsidR="005F3435" w:rsidRPr="008D6F3B">
        <w:rPr>
          <w:rFonts w:ascii="Garamond" w:hAnsi="Garamond" w:cs="Calibri"/>
          <w:color w:val="000000" w:themeColor="text1"/>
        </w:rPr>
        <w:t>ssessment team</w:t>
      </w:r>
      <w:r w:rsidR="004E5235" w:rsidRPr="008D6F3B">
        <w:rPr>
          <w:rFonts w:ascii="Garamond" w:hAnsi="Garamond" w:cs="Calibri"/>
          <w:color w:val="000000" w:themeColor="text1"/>
        </w:rPr>
        <w:t xml:space="preserve"> </w:t>
      </w:r>
      <w:r w:rsidR="00D220A2" w:rsidRPr="008D6F3B">
        <w:rPr>
          <w:rFonts w:ascii="Garamond" w:hAnsi="Garamond" w:cs="Calibri"/>
          <w:color w:val="000000" w:themeColor="text1"/>
        </w:rPr>
        <w:t xml:space="preserve">is generally </w:t>
      </w:r>
      <w:r w:rsidR="005F3435" w:rsidRPr="008D6F3B">
        <w:rPr>
          <w:rFonts w:ascii="Garamond" w:hAnsi="Garamond" w:cs="Calibri"/>
          <w:color w:val="000000" w:themeColor="text1"/>
        </w:rPr>
        <w:t xml:space="preserve">comprised of an </w:t>
      </w:r>
      <w:r w:rsidR="00BA0C74" w:rsidRPr="008D6F3B">
        <w:rPr>
          <w:rFonts w:ascii="Garamond" w:hAnsi="Garamond" w:cs="Calibri"/>
          <w:color w:val="000000" w:themeColor="text1"/>
        </w:rPr>
        <w:t>NMP</w:t>
      </w:r>
      <w:r w:rsidR="005F3435" w:rsidRPr="008D6F3B">
        <w:rPr>
          <w:rFonts w:ascii="Garamond" w:hAnsi="Garamond" w:cs="Calibri"/>
          <w:color w:val="000000" w:themeColor="text1"/>
        </w:rPr>
        <w:t xml:space="preserve"> lead, assessment </w:t>
      </w:r>
      <w:r w:rsidR="00A84A83" w:rsidRPr="008D6F3B">
        <w:rPr>
          <w:rFonts w:ascii="Garamond" w:hAnsi="Garamond" w:cs="Calibri"/>
          <w:color w:val="000000" w:themeColor="text1"/>
        </w:rPr>
        <w:t>focal point</w:t>
      </w:r>
      <w:r w:rsidR="005F3435" w:rsidRPr="008D6F3B">
        <w:rPr>
          <w:rFonts w:ascii="Garamond" w:hAnsi="Garamond" w:cs="Calibri"/>
          <w:color w:val="000000" w:themeColor="text1"/>
        </w:rPr>
        <w:t xml:space="preserve">, and/or research assistant. </w:t>
      </w:r>
      <w:r w:rsidR="00F17FF0" w:rsidRPr="008D6F3B">
        <w:rPr>
          <w:rFonts w:ascii="Garamond" w:hAnsi="Garamond" w:cs="Calibri"/>
          <w:color w:val="000000" w:themeColor="text1"/>
        </w:rPr>
        <w:t xml:space="preserve"> </w:t>
      </w:r>
      <w:r w:rsidRPr="008D6F3B">
        <w:rPr>
          <w:rFonts w:ascii="Garamond" w:hAnsi="Garamond" w:cs="Calibri"/>
          <w:color w:val="000000" w:themeColor="text1"/>
        </w:rPr>
        <w:t>In undertaking the key informant interviews, t</w:t>
      </w:r>
      <w:r w:rsidR="005F3435" w:rsidRPr="008D6F3B">
        <w:rPr>
          <w:rFonts w:ascii="Garamond" w:hAnsi="Garamond" w:cs="Calibri"/>
          <w:color w:val="000000" w:themeColor="text1"/>
        </w:rPr>
        <w:t>he assessment lead will initially lead the interviews with the research assistant taking notes on a laptop.</w:t>
      </w:r>
      <w:r w:rsidR="00F17FF0" w:rsidRPr="008D6F3B">
        <w:rPr>
          <w:rFonts w:ascii="Garamond" w:hAnsi="Garamond" w:cs="Calibri"/>
          <w:color w:val="000000" w:themeColor="text1"/>
        </w:rPr>
        <w:t xml:space="preserve"> </w:t>
      </w:r>
      <w:r w:rsidR="005F3435" w:rsidRPr="008D6F3B">
        <w:rPr>
          <w:rFonts w:ascii="Garamond" w:hAnsi="Garamond" w:cs="Calibri"/>
          <w:color w:val="000000" w:themeColor="text1"/>
        </w:rPr>
        <w:t xml:space="preserve"> After 2-3 KIIs, roles </w:t>
      </w:r>
      <w:r w:rsidR="00A84A83" w:rsidRPr="008D6F3B">
        <w:rPr>
          <w:rFonts w:ascii="Garamond" w:hAnsi="Garamond" w:cs="Calibri"/>
          <w:color w:val="000000" w:themeColor="text1"/>
        </w:rPr>
        <w:t>are</w:t>
      </w:r>
      <w:r w:rsidR="005F3435" w:rsidRPr="008D6F3B">
        <w:rPr>
          <w:rFonts w:ascii="Garamond" w:hAnsi="Garamond" w:cs="Calibri"/>
          <w:color w:val="000000" w:themeColor="text1"/>
        </w:rPr>
        <w:t xml:space="preserve"> alternated to maintain a balance of tasks, and energy levels for the team members.</w:t>
      </w:r>
      <w:r w:rsidR="00F17FF0" w:rsidRPr="008D6F3B">
        <w:rPr>
          <w:rFonts w:ascii="Garamond" w:hAnsi="Garamond" w:cs="Calibri"/>
          <w:color w:val="000000" w:themeColor="text1"/>
        </w:rPr>
        <w:t xml:space="preserve"> </w:t>
      </w:r>
      <w:r w:rsidR="005F3435" w:rsidRPr="008D6F3B">
        <w:rPr>
          <w:rFonts w:ascii="Garamond" w:hAnsi="Garamond" w:cs="Calibri"/>
          <w:color w:val="000000" w:themeColor="text1"/>
        </w:rPr>
        <w:t xml:space="preserve"> Immediately following each KII, the team members review the interview notes, fill in any gaps</w:t>
      </w:r>
      <w:r w:rsidR="004E5235" w:rsidRPr="008D6F3B">
        <w:rPr>
          <w:rFonts w:ascii="Garamond" w:hAnsi="Garamond" w:cs="Calibri"/>
          <w:color w:val="000000" w:themeColor="text1"/>
        </w:rPr>
        <w:t>,</w:t>
      </w:r>
      <w:r w:rsidR="005F3435" w:rsidRPr="008D6F3B">
        <w:rPr>
          <w:rFonts w:ascii="Garamond" w:hAnsi="Garamond" w:cs="Calibri"/>
          <w:color w:val="000000" w:themeColor="text1"/>
        </w:rPr>
        <w:t xml:space="preserve"> and respond to any questions before moving to the next interview. </w:t>
      </w:r>
    </w:p>
    <w:p w14:paraId="5B4B2DA2" w14:textId="21E588F6" w:rsidR="001271FD" w:rsidRPr="008D6F3B" w:rsidRDefault="008F692E" w:rsidP="008D6F3B">
      <w:pPr>
        <w:spacing w:before="120" w:after="120"/>
        <w:jc w:val="both"/>
        <w:rPr>
          <w:rFonts w:ascii="Garamond" w:hAnsi="Garamond" w:cstheme="minorHAnsi"/>
          <w:sz w:val="22"/>
          <w:szCs w:val="22"/>
        </w:rPr>
      </w:pPr>
      <w:r w:rsidRPr="008D6F3B">
        <w:rPr>
          <w:rFonts w:ascii="Garamond" w:hAnsi="Garamond"/>
          <w:color w:val="000000"/>
          <w:sz w:val="22"/>
          <w:szCs w:val="22"/>
        </w:rPr>
        <w:t xml:space="preserve">An Excel-based </w:t>
      </w:r>
      <w:r w:rsidRPr="008D6F3B">
        <w:rPr>
          <w:rFonts w:ascii="Garamond" w:hAnsi="Garamond"/>
          <w:sz w:val="22"/>
          <w:szCs w:val="22"/>
        </w:rPr>
        <w:t xml:space="preserve">discussion guide </w:t>
      </w:r>
      <w:r w:rsidR="00DA1C87" w:rsidRPr="008D6F3B">
        <w:rPr>
          <w:rFonts w:ascii="Garamond" w:hAnsi="Garamond"/>
          <w:color w:val="000000" w:themeColor="text1"/>
          <w:sz w:val="22"/>
          <w:szCs w:val="22"/>
        </w:rPr>
        <w:t xml:space="preserve">is included in the Assessment Tools, (Tool 9). </w:t>
      </w:r>
      <w:r w:rsidR="00F17FF0" w:rsidRPr="008D6F3B">
        <w:rPr>
          <w:rFonts w:ascii="Garamond" w:hAnsi="Garamond"/>
          <w:color w:val="000000" w:themeColor="text1"/>
          <w:sz w:val="22"/>
          <w:szCs w:val="22"/>
        </w:rPr>
        <w:t xml:space="preserve"> </w:t>
      </w:r>
      <w:r w:rsidR="00DA1C87" w:rsidRPr="008D6F3B">
        <w:rPr>
          <w:rFonts w:ascii="Garamond" w:hAnsi="Garamond"/>
          <w:color w:val="000000" w:themeColor="text1"/>
          <w:sz w:val="22"/>
          <w:szCs w:val="22"/>
        </w:rPr>
        <w:t xml:space="preserve">The </w:t>
      </w:r>
      <w:r w:rsidR="004E5235" w:rsidRPr="008D6F3B">
        <w:rPr>
          <w:rFonts w:ascii="Garamond" w:hAnsi="Garamond"/>
          <w:color w:val="000000" w:themeColor="text1"/>
          <w:sz w:val="22"/>
          <w:szCs w:val="22"/>
        </w:rPr>
        <w:t>Excel template</w:t>
      </w:r>
      <w:r w:rsidR="00DA1C87" w:rsidRPr="008D6F3B">
        <w:rPr>
          <w:rFonts w:ascii="Garamond" w:hAnsi="Garamond"/>
          <w:color w:val="000000" w:themeColor="text1"/>
          <w:sz w:val="22"/>
          <w:szCs w:val="22"/>
        </w:rPr>
        <w:t xml:space="preserve"> is used </w:t>
      </w:r>
      <w:r w:rsidRPr="008D6F3B">
        <w:rPr>
          <w:rFonts w:ascii="Garamond" w:hAnsi="Garamond"/>
          <w:sz w:val="22"/>
          <w:szCs w:val="22"/>
        </w:rPr>
        <w:t>to capture</w:t>
      </w:r>
      <w:r w:rsidR="00DA1C87" w:rsidRPr="008D6F3B">
        <w:rPr>
          <w:rFonts w:ascii="Garamond" w:hAnsi="Garamond"/>
          <w:sz w:val="22"/>
          <w:szCs w:val="22"/>
        </w:rPr>
        <w:t xml:space="preserve"> key informant</w:t>
      </w:r>
      <w:r w:rsidRPr="008D6F3B">
        <w:rPr>
          <w:rFonts w:ascii="Garamond" w:hAnsi="Garamond"/>
          <w:sz w:val="22"/>
          <w:szCs w:val="22"/>
        </w:rPr>
        <w:t xml:space="preserve"> inputs at each level</w:t>
      </w:r>
      <w:r w:rsidR="00DA1C87" w:rsidRPr="008D6F3B">
        <w:rPr>
          <w:rFonts w:ascii="Garamond" w:hAnsi="Garamond"/>
          <w:sz w:val="22"/>
          <w:szCs w:val="22"/>
        </w:rPr>
        <w:t xml:space="preserve"> of the health system</w:t>
      </w:r>
      <w:r w:rsidRPr="008D6F3B">
        <w:rPr>
          <w:rFonts w:ascii="Garamond" w:hAnsi="Garamond"/>
          <w:sz w:val="22"/>
          <w:szCs w:val="22"/>
        </w:rPr>
        <w:t xml:space="preserve"> for an established set of </w:t>
      </w:r>
      <w:r w:rsidR="00931C86" w:rsidRPr="008D6F3B">
        <w:rPr>
          <w:rFonts w:ascii="Garamond" w:hAnsi="Garamond"/>
          <w:sz w:val="22"/>
          <w:szCs w:val="22"/>
        </w:rPr>
        <w:t>ITN</w:t>
      </w:r>
      <w:r w:rsidRPr="008D6F3B">
        <w:rPr>
          <w:rFonts w:ascii="Garamond" w:hAnsi="Garamond"/>
          <w:sz w:val="22"/>
          <w:szCs w:val="22"/>
        </w:rPr>
        <w:t xml:space="preserve"> delivery process components</w:t>
      </w:r>
      <w:r w:rsidR="00A84A83" w:rsidRPr="008D6F3B">
        <w:rPr>
          <w:rFonts w:ascii="Garamond" w:hAnsi="Garamond"/>
          <w:sz w:val="22"/>
          <w:szCs w:val="22"/>
        </w:rPr>
        <w:t>, as outlined below</w:t>
      </w:r>
      <w:r w:rsidRPr="008D6F3B">
        <w:rPr>
          <w:rFonts w:ascii="Garamond" w:hAnsi="Garamond"/>
          <w:sz w:val="22"/>
          <w:szCs w:val="22"/>
        </w:rPr>
        <w:t>.</w:t>
      </w:r>
      <w:r w:rsidR="00F17FF0" w:rsidRPr="008D6F3B">
        <w:rPr>
          <w:rFonts w:ascii="Garamond" w:hAnsi="Garamond"/>
          <w:sz w:val="22"/>
          <w:szCs w:val="22"/>
        </w:rPr>
        <w:t xml:space="preserve"> </w:t>
      </w:r>
      <w:r w:rsidRPr="008D6F3B">
        <w:rPr>
          <w:rFonts w:ascii="Garamond" w:hAnsi="Garamond"/>
          <w:sz w:val="22"/>
          <w:szCs w:val="22"/>
        </w:rPr>
        <w:t xml:space="preserve"> </w:t>
      </w:r>
      <w:r w:rsidRPr="008D6F3B">
        <w:rPr>
          <w:rFonts w:ascii="Garamond" w:hAnsi="Garamond" w:cstheme="minorHAnsi"/>
          <w:sz w:val="22"/>
          <w:szCs w:val="22"/>
        </w:rPr>
        <w:t xml:space="preserve">The content of the discussion guide was informed by </w:t>
      </w:r>
      <w:r w:rsidR="00A84A83" w:rsidRPr="008D6F3B">
        <w:rPr>
          <w:rFonts w:ascii="Garamond" w:hAnsi="Garamond" w:cstheme="minorHAnsi"/>
          <w:sz w:val="22"/>
          <w:szCs w:val="22"/>
        </w:rPr>
        <w:t xml:space="preserve">the </w:t>
      </w:r>
      <w:r w:rsidR="00104B93" w:rsidRPr="008D6F3B">
        <w:rPr>
          <w:rFonts w:ascii="Garamond" w:hAnsi="Garamond" w:cstheme="minorHAnsi"/>
          <w:sz w:val="22"/>
          <w:szCs w:val="22"/>
        </w:rPr>
        <w:t xml:space="preserve">country-specific information and </w:t>
      </w:r>
      <w:r w:rsidR="00A84A83" w:rsidRPr="008D6F3B">
        <w:rPr>
          <w:rFonts w:ascii="Garamond" w:hAnsi="Garamond" w:cstheme="minorHAnsi"/>
          <w:sz w:val="22"/>
          <w:szCs w:val="22"/>
        </w:rPr>
        <w:t>documents listed above in the Global Desk Review list</w:t>
      </w:r>
      <w:r w:rsidR="00641961" w:rsidRPr="008D6F3B">
        <w:rPr>
          <w:rFonts w:ascii="Garamond" w:hAnsi="Garamond" w:cstheme="minorHAnsi"/>
          <w:sz w:val="22"/>
          <w:szCs w:val="22"/>
        </w:rPr>
        <w:t xml:space="preserve">. </w:t>
      </w:r>
      <w:r w:rsidR="00F17FF0" w:rsidRPr="008D6F3B">
        <w:rPr>
          <w:rFonts w:ascii="Garamond" w:hAnsi="Garamond" w:cstheme="minorHAnsi"/>
          <w:sz w:val="22"/>
          <w:szCs w:val="22"/>
        </w:rPr>
        <w:t xml:space="preserve"> </w:t>
      </w:r>
      <w:r w:rsidR="00641961" w:rsidRPr="008D6F3B">
        <w:rPr>
          <w:rFonts w:ascii="Garamond" w:hAnsi="Garamond" w:cstheme="minorHAnsi"/>
          <w:sz w:val="22"/>
          <w:szCs w:val="22"/>
        </w:rPr>
        <w:t xml:space="preserve">A comprehensive discussion guide example is included as </w:t>
      </w:r>
      <w:r w:rsidR="00BF2E1D" w:rsidRPr="008D6F3B">
        <w:rPr>
          <w:rFonts w:ascii="Garamond" w:hAnsi="Garamond" w:cstheme="minorHAnsi"/>
          <w:sz w:val="22"/>
          <w:szCs w:val="22"/>
        </w:rPr>
        <w:t>T</w:t>
      </w:r>
      <w:r w:rsidR="00641961" w:rsidRPr="008D6F3B">
        <w:rPr>
          <w:rFonts w:ascii="Garamond" w:hAnsi="Garamond" w:cstheme="minorHAnsi"/>
          <w:sz w:val="22"/>
          <w:szCs w:val="22"/>
        </w:rPr>
        <w:t>ool 9 and can be updated or modified by the NMP and Partners</w:t>
      </w:r>
      <w:r w:rsidR="00104B93" w:rsidRPr="008D6F3B">
        <w:rPr>
          <w:rFonts w:ascii="Garamond" w:hAnsi="Garamond" w:cstheme="minorHAnsi"/>
          <w:sz w:val="22"/>
          <w:szCs w:val="22"/>
        </w:rPr>
        <w:t xml:space="preserve"> </w:t>
      </w:r>
      <w:r w:rsidR="00A84A83" w:rsidRPr="008D6F3B">
        <w:rPr>
          <w:rFonts w:ascii="Garamond" w:hAnsi="Garamond" w:cstheme="minorHAnsi"/>
          <w:sz w:val="22"/>
          <w:szCs w:val="22"/>
        </w:rPr>
        <w:t xml:space="preserve">(Section 2.3.3). </w:t>
      </w:r>
    </w:p>
    <w:p w14:paraId="1603DD17" w14:textId="7AB28B7C" w:rsidR="00C92BA4" w:rsidRPr="008D6F3B" w:rsidRDefault="00A84A83" w:rsidP="008D6F3B">
      <w:pPr>
        <w:spacing w:before="120" w:after="120"/>
        <w:jc w:val="both"/>
        <w:rPr>
          <w:rFonts w:ascii="Garamond" w:hAnsi="Garamond" w:cstheme="minorHAnsi"/>
          <w:sz w:val="22"/>
          <w:szCs w:val="22"/>
        </w:rPr>
      </w:pPr>
      <w:r w:rsidRPr="008D6F3B">
        <w:rPr>
          <w:rFonts w:ascii="Garamond" w:hAnsi="Garamond" w:cstheme="minorHAnsi"/>
          <w:sz w:val="22"/>
          <w:szCs w:val="22"/>
        </w:rPr>
        <w:t xml:space="preserve">Data are collected, </w:t>
      </w:r>
      <w:r w:rsidR="00572670" w:rsidRPr="008D6F3B">
        <w:rPr>
          <w:rFonts w:ascii="Garamond" w:hAnsi="Garamond" w:cstheme="minorHAnsi"/>
          <w:sz w:val="22"/>
          <w:szCs w:val="22"/>
        </w:rPr>
        <w:t>analyzed</w:t>
      </w:r>
      <w:r w:rsidRPr="008D6F3B">
        <w:rPr>
          <w:rFonts w:ascii="Garamond" w:hAnsi="Garamond" w:cstheme="minorHAnsi"/>
          <w:sz w:val="22"/>
          <w:szCs w:val="22"/>
        </w:rPr>
        <w:t xml:space="preserve"> and discussed through </w:t>
      </w:r>
      <w:r w:rsidR="001271FD" w:rsidRPr="008D6F3B">
        <w:rPr>
          <w:rFonts w:ascii="Garamond" w:hAnsi="Garamond" w:cstheme="minorHAnsi"/>
          <w:sz w:val="22"/>
          <w:szCs w:val="22"/>
        </w:rPr>
        <w:t xml:space="preserve">the ITN Continuous Distribution Framework (Table 2 </w:t>
      </w:r>
      <w:proofErr w:type="gramStart"/>
      <w:r w:rsidR="001271FD" w:rsidRPr="008D6F3B">
        <w:rPr>
          <w:rFonts w:ascii="Garamond" w:hAnsi="Garamond" w:cstheme="minorHAnsi"/>
          <w:sz w:val="22"/>
          <w:szCs w:val="22"/>
        </w:rPr>
        <w:t xml:space="preserve">below) </w:t>
      </w:r>
      <w:r w:rsidRPr="008D6F3B">
        <w:rPr>
          <w:rFonts w:ascii="Garamond" w:hAnsi="Garamond" w:cstheme="minorHAnsi"/>
          <w:sz w:val="22"/>
          <w:szCs w:val="22"/>
        </w:rPr>
        <w:t xml:space="preserve">  </w:t>
      </w:r>
      <w:proofErr w:type="gramEnd"/>
      <w:r w:rsidRPr="008D6F3B">
        <w:rPr>
          <w:rFonts w:ascii="Garamond" w:hAnsi="Garamond" w:cstheme="minorHAnsi"/>
          <w:sz w:val="22"/>
          <w:szCs w:val="22"/>
        </w:rPr>
        <w:t>that examines key functions of a continuous distribution system across the different levels of the health system.</w:t>
      </w:r>
    </w:p>
    <w:p w14:paraId="58D55E10" w14:textId="77777777" w:rsidR="001271FD" w:rsidRDefault="001271FD" w:rsidP="008D6F3B">
      <w:pPr>
        <w:spacing w:before="120" w:after="120"/>
        <w:jc w:val="both"/>
        <w:rPr>
          <w:rFonts w:ascii="Garamond" w:hAnsi="Garamond" w:cstheme="minorHAnsi"/>
          <w:sz w:val="22"/>
          <w:szCs w:val="22"/>
        </w:rPr>
      </w:pPr>
      <w:r>
        <w:rPr>
          <w:rFonts w:ascii="Garamond" w:hAnsi="Garamond" w:cstheme="minorHAnsi"/>
          <w:sz w:val="22"/>
          <w:szCs w:val="22"/>
        </w:rPr>
        <w:t>Analysis is conducted at several points in the process:</w:t>
      </w:r>
    </w:p>
    <w:p w14:paraId="71124811" w14:textId="77777777" w:rsidR="008D6F3B" w:rsidRPr="008D6F3B" w:rsidRDefault="008D6F3B" w:rsidP="008D6F3B">
      <w:pPr>
        <w:pStyle w:val="1-Bullet"/>
        <w:rPr>
          <w:b w:val="0"/>
          <w:bCs/>
          <w:szCs w:val="22"/>
        </w:rPr>
      </w:pPr>
      <w:r w:rsidRPr="008D6F3B">
        <w:rPr>
          <w:rFonts w:cstheme="minorHAnsi"/>
          <w:b w:val="0"/>
          <w:bCs/>
          <w:szCs w:val="22"/>
        </w:rPr>
        <w:t>A</w:t>
      </w:r>
      <w:r w:rsidR="001271FD" w:rsidRPr="008D6F3B">
        <w:rPr>
          <w:rFonts w:cstheme="minorHAnsi"/>
          <w:b w:val="0"/>
          <w:bCs/>
          <w:szCs w:val="22"/>
        </w:rPr>
        <w:t xml:space="preserve">fter each </w:t>
      </w:r>
      <w:proofErr w:type="gramStart"/>
      <w:r w:rsidR="001271FD" w:rsidRPr="008D6F3B">
        <w:rPr>
          <w:rFonts w:cstheme="minorHAnsi"/>
          <w:b w:val="0"/>
          <w:bCs/>
          <w:szCs w:val="22"/>
        </w:rPr>
        <w:t>interview</w:t>
      </w:r>
      <w:proofErr w:type="gramEnd"/>
      <w:r w:rsidR="001271FD" w:rsidRPr="008D6F3B">
        <w:rPr>
          <w:rFonts w:cstheme="minorHAnsi"/>
          <w:b w:val="0"/>
          <w:bCs/>
          <w:szCs w:val="22"/>
        </w:rPr>
        <w:t xml:space="preserve"> the Assessment Team reviews notes and ensures completeness and capture of all information</w:t>
      </w:r>
    </w:p>
    <w:p w14:paraId="73890AFD" w14:textId="2849BE89" w:rsidR="008D6F3B" w:rsidRPr="008D6F3B" w:rsidRDefault="001271FD" w:rsidP="008D6F3B">
      <w:pPr>
        <w:pStyle w:val="1-Bullet"/>
        <w:rPr>
          <w:b w:val="0"/>
          <w:bCs/>
          <w:szCs w:val="22"/>
        </w:rPr>
      </w:pPr>
      <w:r w:rsidRPr="008D6F3B">
        <w:rPr>
          <w:rFonts w:cstheme="minorHAnsi"/>
          <w:b w:val="0"/>
          <w:bCs/>
          <w:szCs w:val="22"/>
        </w:rPr>
        <w:t xml:space="preserve">At the end of each day of interviews, the </w:t>
      </w:r>
      <w:r w:rsidR="00572670" w:rsidRPr="008D6F3B">
        <w:rPr>
          <w:rFonts w:cstheme="minorHAnsi"/>
          <w:b w:val="0"/>
          <w:bCs/>
          <w:szCs w:val="22"/>
        </w:rPr>
        <w:t>Assessment</w:t>
      </w:r>
      <w:r w:rsidRPr="008D6F3B">
        <w:rPr>
          <w:rFonts w:cstheme="minorHAnsi"/>
          <w:b w:val="0"/>
          <w:bCs/>
          <w:szCs w:val="22"/>
        </w:rPr>
        <w:t xml:space="preserve"> Team reviews all notes and begins to identify trends emerging</w:t>
      </w:r>
    </w:p>
    <w:p w14:paraId="6DADF686" w14:textId="612B2FAD" w:rsidR="007D15A4" w:rsidRPr="00FB14F1" w:rsidRDefault="001271FD" w:rsidP="00FB14F1">
      <w:pPr>
        <w:pStyle w:val="1-Bullet"/>
        <w:rPr>
          <w:b w:val="0"/>
          <w:bCs/>
          <w:szCs w:val="22"/>
        </w:rPr>
      </w:pPr>
      <w:r w:rsidRPr="008D6F3B">
        <w:rPr>
          <w:rFonts w:cstheme="minorHAnsi"/>
          <w:b w:val="0"/>
          <w:bCs/>
          <w:szCs w:val="22"/>
        </w:rPr>
        <w:t xml:space="preserve">After completing interviews for each level of the health system, the information is summarized, trends are </w:t>
      </w:r>
      <w:proofErr w:type="gramStart"/>
      <w:r w:rsidRPr="008D6F3B">
        <w:rPr>
          <w:rFonts w:cstheme="minorHAnsi"/>
          <w:b w:val="0"/>
          <w:bCs/>
          <w:szCs w:val="22"/>
        </w:rPr>
        <w:t>captured</w:t>
      </w:r>
      <w:proofErr w:type="gramEnd"/>
      <w:r w:rsidRPr="008D6F3B">
        <w:rPr>
          <w:rFonts w:cstheme="minorHAnsi"/>
          <w:b w:val="0"/>
          <w:bCs/>
          <w:szCs w:val="22"/>
        </w:rPr>
        <w:t xml:space="preserve"> and a preliminary list of recommendations is drawn up for the NMP/PMI partner presentation based on the country context </w:t>
      </w:r>
    </w:p>
    <w:p w14:paraId="5B8AF267" w14:textId="247672BE" w:rsidR="00E533F4" w:rsidRPr="00E41137" w:rsidRDefault="00E533F4" w:rsidP="00E533F4">
      <w:pPr>
        <w:pStyle w:val="TableTitle"/>
      </w:pPr>
      <w:bookmarkStart w:id="49" w:name="_Toc43120666"/>
      <w:r>
        <w:rPr>
          <w:caps w:val="0"/>
        </w:rPr>
        <w:t xml:space="preserve">Table </w:t>
      </w:r>
      <w:r>
        <w:fldChar w:fldCharType="begin"/>
      </w:r>
      <w:r>
        <w:instrText xml:space="preserve"> SEQ Table \* ARABIC </w:instrText>
      </w:r>
      <w:r>
        <w:fldChar w:fldCharType="separate"/>
      </w:r>
      <w:r w:rsidR="00462EE2">
        <w:t>2</w:t>
      </w:r>
      <w:r>
        <w:fldChar w:fldCharType="end"/>
      </w:r>
      <w:r>
        <w:rPr>
          <w:caps w:val="0"/>
        </w:rPr>
        <w:t xml:space="preserve">: </w:t>
      </w:r>
      <w:r w:rsidR="00462EE2">
        <w:rPr>
          <w:caps w:val="0"/>
        </w:rPr>
        <w:t>ITN Continuous Distribution Assessment Framework</w:t>
      </w:r>
      <w:bookmarkEnd w:id="49"/>
    </w:p>
    <w:tbl>
      <w:tblPr>
        <w:tblStyle w:val="TableGridlinesStyles"/>
        <w:tblW w:w="0" w:type="auto"/>
        <w:tblLook w:val="04A0" w:firstRow="1" w:lastRow="0" w:firstColumn="1" w:lastColumn="0" w:noHBand="0" w:noVBand="1"/>
      </w:tblPr>
      <w:tblGrid>
        <w:gridCol w:w="2070"/>
        <w:gridCol w:w="1820"/>
        <w:gridCol w:w="1820"/>
        <w:gridCol w:w="3640"/>
      </w:tblGrid>
      <w:tr w:rsidR="00462EE2" w:rsidRPr="00CF5B6D" w14:paraId="7916AC47" w14:textId="77777777" w:rsidTr="00E338B3">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1D69A61F" w14:textId="588BF3F5" w:rsidR="00462EE2" w:rsidRPr="00FB14F1" w:rsidRDefault="00462EE2" w:rsidP="00E14EDC">
            <w:pPr>
              <w:pStyle w:val="1-DocText"/>
              <w:jc w:val="center"/>
            </w:pPr>
            <w:r w:rsidRPr="00FB14F1">
              <w:t>ITN Continuous Distribution Assessment Framework</w:t>
            </w:r>
          </w:p>
        </w:tc>
      </w:tr>
      <w:tr w:rsidR="00FB14F1" w14:paraId="39FFBC69" w14:textId="77777777" w:rsidTr="00E338B3">
        <w:tc>
          <w:tcPr>
            <w:tcW w:w="2070" w:type="dxa"/>
          </w:tcPr>
          <w:p w14:paraId="75DC28C2" w14:textId="0551C015" w:rsidR="00FB14F1" w:rsidRPr="00E533F4" w:rsidRDefault="00FB14F1" w:rsidP="00FB14F1">
            <w:pPr>
              <w:pStyle w:val="TableBody"/>
            </w:pPr>
          </w:p>
        </w:tc>
        <w:tc>
          <w:tcPr>
            <w:tcW w:w="1820" w:type="dxa"/>
          </w:tcPr>
          <w:p w14:paraId="1A149C2E" w14:textId="005A64A0" w:rsidR="00FB14F1" w:rsidRPr="00FB14F1" w:rsidRDefault="00FB14F1" w:rsidP="00E3773F">
            <w:pPr>
              <w:pStyle w:val="1-DocText"/>
            </w:pPr>
            <w:r>
              <w:t>Central</w:t>
            </w:r>
          </w:p>
        </w:tc>
        <w:tc>
          <w:tcPr>
            <w:tcW w:w="1820" w:type="dxa"/>
          </w:tcPr>
          <w:p w14:paraId="23B85460" w14:textId="4EAC6A93" w:rsidR="00FB14F1" w:rsidRPr="00E533F4" w:rsidRDefault="00FB14F1" w:rsidP="00E3773F">
            <w:pPr>
              <w:pStyle w:val="1-DocText"/>
            </w:pPr>
            <w:r>
              <w:t>Region / District</w:t>
            </w:r>
          </w:p>
        </w:tc>
        <w:tc>
          <w:tcPr>
            <w:tcW w:w="3640" w:type="dxa"/>
          </w:tcPr>
          <w:p w14:paraId="4712DEF2" w14:textId="04FACE00" w:rsidR="00FB14F1" w:rsidRPr="00E533F4" w:rsidRDefault="00FB14F1" w:rsidP="00E3773F">
            <w:pPr>
              <w:pStyle w:val="1-DocText"/>
            </w:pPr>
            <w:r>
              <w:t>Health Facility</w:t>
            </w:r>
          </w:p>
        </w:tc>
      </w:tr>
      <w:tr w:rsidR="00FB14F1" w14:paraId="2929BEB2" w14:textId="77777777" w:rsidTr="00E338B3">
        <w:tc>
          <w:tcPr>
            <w:tcW w:w="9350" w:type="dxa"/>
            <w:gridSpan w:val="4"/>
          </w:tcPr>
          <w:p w14:paraId="189BB98B" w14:textId="2E4F3BE0" w:rsidR="00FB14F1" w:rsidRPr="00FB14F1" w:rsidRDefault="00FB14F1" w:rsidP="00E14EDC">
            <w:pPr>
              <w:pStyle w:val="1-DocText"/>
              <w:jc w:val="center"/>
            </w:pPr>
            <w:r>
              <w:t>Exploration of all potential continuous distribution channels</w:t>
            </w:r>
          </w:p>
        </w:tc>
      </w:tr>
      <w:tr w:rsidR="00FB14F1" w14:paraId="0A6C8F59" w14:textId="77777777" w:rsidTr="00E338B3">
        <w:tc>
          <w:tcPr>
            <w:tcW w:w="2070" w:type="dxa"/>
          </w:tcPr>
          <w:p w14:paraId="668B298C" w14:textId="1909FBD3" w:rsidR="00FB14F1" w:rsidRPr="00FB14F1" w:rsidRDefault="00FB14F1" w:rsidP="00FB14F1">
            <w:pPr>
              <w:pStyle w:val="TableBody"/>
            </w:pPr>
            <w:r w:rsidRPr="00FB14F1">
              <w:t>Planning and coordination</w:t>
            </w:r>
          </w:p>
        </w:tc>
        <w:tc>
          <w:tcPr>
            <w:tcW w:w="1820" w:type="dxa"/>
          </w:tcPr>
          <w:p w14:paraId="03C5E097" w14:textId="77777777" w:rsidR="00FB14F1" w:rsidRPr="00E533F4" w:rsidRDefault="00FB14F1" w:rsidP="00E3773F">
            <w:pPr>
              <w:pStyle w:val="TableNumber"/>
            </w:pPr>
          </w:p>
        </w:tc>
        <w:tc>
          <w:tcPr>
            <w:tcW w:w="1820" w:type="dxa"/>
          </w:tcPr>
          <w:p w14:paraId="5945B694" w14:textId="77777777" w:rsidR="00FB14F1" w:rsidRPr="00E533F4" w:rsidRDefault="00FB14F1" w:rsidP="00E3773F">
            <w:pPr>
              <w:pStyle w:val="1-DocText"/>
            </w:pPr>
          </w:p>
        </w:tc>
        <w:tc>
          <w:tcPr>
            <w:tcW w:w="3640" w:type="dxa"/>
          </w:tcPr>
          <w:p w14:paraId="045D4D56" w14:textId="77777777" w:rsidR="00FB14F1" w:rsidRPr="00E533F4" w:rsidRDefault="00FB14F1" w:rsidP="00E3773F">
            <w:pPr>
              <w:pStyle w:val="1-DocText"/>
            </w:pPr>
          </w:p>
        </w:tc>
      </w:tr>
      <w:tr w:rsidR="00FB14F1" w14:paraId="6216B90B" w14:textId="77777777" w:rsidTr="00E338B3">
        <w:tc>
          <w:tcPr>
            <w:tcW w:w="2070" w:type="dxa"/>
          </w:tcPr>
          <w:p w14:paraId="66E78273" w14:textId="48561D4B" w:rsidR="00FB14F1" w:rsidRPr="00FB14F1" w:rsidRDefault="00FB14F1" w:rsidP="00FB14F1">
            <w:pPr>
              <w:pStyle w:val="TableBody"/>
            </w:pPr>
            <w:r w:rsidRPr="00FB14F1">
              <w:t>Beneficiary identification</w:t>
            </w:r>
          </w:p>
        </w:tc>
        <w:tc>
          <w:tcPr>
            <w:tcW w:w="1820" w:type="dxa"/>
          </w:tcPr>
          <w:p w14:paraId="5A846292" w14:textId="77777777" w:rsidR="00FB14F1" w:rsidRPr="00E533F4" w:rsidRDefault="00FB14F1" w:rsidP="00E3773F">
            <w:pPr>
              <w:pStyle w:val="TableNumber"/>
            </w:pPr>
          </w:p>
        </w:tc>
        <w:tc>
          <w:tcPr>
            <w:tcW w:w="1820" w:type="dxa"/>
          </w:tcPr>
          <w:p w14:paraId="23C6715A" w14:textId="77777777" w:rsidR="00FB14F1" w:rsidRPr="00E533F4" w:rsidRDefault="00FB14F1" w:rsidP="00E3773F">
            <w:pPr>
              <w:pStyle w:val="1-DocText"/>
            </w:pPr>
          </w:p>
        </w:tc>
        <w:tc>
          <w:tcPr>
            <w:tcW w:w="3640" w:type="dxa"/>
          </w:tcPr>
          <w:p w14:paraId="429B7CFC" w14:textId="77777777" w:rsidR="00FB14F1" w:rsidRPr="00E533F4" w:rsidRDefault="00FB14F1" w:rsidP="00E3773F">
            <w:pPr>
              <w:pStyle w:val="1-DocText"/>
            </w:pPr>
          </w:p>
        </w:tc>
      </w:tr>
      <w:tr w:rsidR="00FB14F1" w14:paraId="243823D9" w14:textId="77777777" w:rsidTr="00E338B3">
        <w:tc>
          <w:tcPr>
            <w:tcW w:w="2070" w:type="dxa"/>
          </w:tcPr>
          <w:p w14:paraId="4C947E79" w14:textId="18E1A565" w:rsidR="00FB14F1" w:rsidRPr="00FB14F1" w:rsidRDefault="00FB14F1" w:rsidP="00FB14F1">
            <w:pPr>
              <w:pStyle w:val="TableBody"/>
            </w:pPr>
            <w:r w:rsidRPr="00FB14F1">
              <w:t>Quantification and ITN supply</w:t>
            </w:r>
          </w:p>
        </w:tc>
        <w:tc>
          <w:tcPr>
            <w:tcW w:w="1820" w:type="dxa"/>
          </w:tcPr>
          <w:p w14:paraId="77C4B727" w14:textId="77777777" w:rsidR="00FB14F1" w:rsidRPr="00E533F4" w:rsidRDefault="00FB14F1" w:rsidP="00E3773F">
            <w:pPr>
              <w:pStyle w:val="TableNumber"/>
            </w:pPr>
          </w:p>
        </w:tc>
        <w:tc>
          <w:tcPr>
            <w:tcW w:w="1820" w:type="dxa"/>
          </w:tcPr>
          <w:p w14:paraId="50B35325" w14:textId="77777777" w:rsidR="00FB14F1" w:rsidRPr="00E533F4" w:rsidRDefault="00FB14F1" w:rsidP="00E3773F">
            <w:pPr>
              <w:pStyle w:val="1-DocText"/>
            </w:pPr>
          </w:p>
        </w:tc>
        <w:tc>
          <w:tcPr>
            <w:tcW w:w="3640" w:type="dxa"/>
          </w:tcPr>
          <w:p w14:paraId="5B3BE7CA" w14:textId="77777777" w:rsidR="00FB14F1" w:rsidRPr="00E533F4" w:rsidRDefault="00FB14F1" w:rsidP="00E3773F">
            <w:pPr>
              <w:pStyle w:val="1-DocText"/>
            </w:pPr>
          </w:p>
        </w:tc>
      </w:tr>
      <w:tr w:rsidR="00FB14F1" w14:paraId="46D712B4" w14:textId="77777777" w:rsidTr="00E338B3">
        <w:tc>
          <w:tcPr>
            <w:tcW w:w="2070" w:type="dxa"/>
          </w:tcPr>
          <w:p w14:paraId="289DAE2E" w14:textId="234C9DBB" w:rsidR="00FB14F1" w:rsidRPr="00FB14F1" w:rsidRDefault="00FB14F1" w:rsidP="00FB14F1">
            <w:pPr>
              <w:pStyle w:val="TableBody"/>
            </w:pPr>
            <w:r w:rsidRPr="00FB14F1">
              <w:t>Storage, transport and stock management</w:t>
            </w:r>
          </w:p>
        </w:tc>
        <w:tc>
          <w:tcPr>
            <w:tcW w:w="1820" w:type="dxa"/>
          </w:tcPr>
          <w:p w14:paraId="442FD6A8" w14:textId="77777777" w:rsidR="00FB14F1" w:rsidRPr="00E533F4" w:rsidRDefault="00FB14F1" w:rsidP="00E3773F">
            <w:pPr>
              <w:pStyle w:val="TableNumber"/>
            </w:pPr>
          </w:p>
        </w:tc>
        <w:tc>
          <w:tcPr>
            <w:tcW w:w="1820" w:type="dxa"/>
          </w:tcPr>
          <w:p w14:paraId="7A4AC17F" w14:textId="77777777" w:rsidR="00FB14F1" w:rsidRPr="00E533F4" w:rsidRDefault="00FB14F1" w:rsidP="00E3773F">
            <w:pPr>
              <w:pStyle w:val="1-DocText"/>
            </w:pPr>
          </w:p>
        </w:tc>
        <w:tc>
          <w:tcPr>
            <w:tcW w:w="3640" w:type="dxa"/>
          </w:tcPr>
          <w:p w14:paraId="68E225F5" w14:textId="77777777" w:rsidR="00FB14F1" w:rsidRPr="00E533F4" w:rsidRDefault="00FB14F1" w:rsidP="00E3773F">
            <w:pPr>
              <w:pStyle w:val="1-DocText"/>
            </w:pPr>
          </w:p>
        </w:tc>
      </w:tr>
      <w:tr w:rsidR="00FB14F1" w14:paraId="672DB6CF" w14:textId="77777777" w:rsidTr="00E338B3">
        <w:tc>
          <w:tcPr>
            <w:tcW w:w="2070" w:type="dxa"/>
          </w:tcPr>
          <w:p w14:paraId="3D5DD9CF" w14:textId="2C03E870" w:rsidR="00FB14F1" w:rsidRPr="00FB14F1" w:rsidRDefault="00FB14F1" w:rsidP="00FB14F1">
            <w:pPr>
              <w:pStyle w:val="TableBody"/>
            </w:pPr>
            <w:r w:rsidRPr="00FB14F1">
              <w:t>ITN Distribution</w:t>
            </w:r>
          </w:p>
        </w:tc>
        <w:tc>
          <w:tcPr>
            <w:tcW w:w="1820" w:type="dxa"/>
          </w:tcPr>
          <w:p w14:paraId="5479BAEE" w14:textId="77777777" w:rsidR="00FB14F1" w:rsidRPr="00E533F4" w:rsidRDefault="00FB14F1" w:rsidP="00E3773F">
            <w:pPr>
              <w:pStyle w:val="TableNumber"/>
            </w:pPr>
          </w:p>
        </w:tc>
        <w:tc>
          <w:tcPr>
            <w:tcW w:w="1820" w:type="dxa"/>
          </w:tcPr>
          <w:p w14:paraId="5D052968" w14:textId="77777777" w:rsidR="00FB14F1" w:rsidRPr="00E533F4" w:rsidRDefault="00FB14F1" w:rsidP="00E3773F">
            <w:pPr>
              <w:pStyle w:val="1-DocText"/>
            </w:pPr>
          </w:p>
        </w:tc>
        <w:tc>
          <w:tcPr>
            <w:tcW w:w="3640" w:type="dxa"/>
          </w:tcPr>
          <w:p w14:paraId="1CE06274" w14:textId="77777777" w:rsidR="00FB14F1" w:rsidRPr="00E533F4" w:rsidRDefault="00FB14F1" w:rsidP="00E3773F">
            <w:pPr>
              <w:pStyle w:val="1-DocText"/>
            </w:pPr>
          </w:p>
        </w:tc>
      </w:tr>
      <w:tr w:rsidR="00FB14F1" w14:paraId="34B27ABC" w14:textId="77777777" w:rsidTr="00E338B3">
        <w:tc>
          <w:tcPr>
            <w:tcW w:w="2070" w:type="dxa"/>
          </w:tcPr>
          <w:p w14:paraId="3C5404DC" w14:textId="6FB8143F" w:rsidR="00FB14F1" w:rsidRPr="00FB14F1" w:rsidRDefault="00FB14F1" w:rsidP="00FB14F1">
            <w:pPr>
              <w:pStyle w:val="TableBody"/>
            </w:pPr>
            <w:r w:rsidRPr="00FB14F1">
              <w:lastRenderedPageBreak/>
              <w:t>Personnel and coapacity strengthening</w:t>
            </w:r>
          </w:p>
        </w:tc>
        <w:tc>
          <w:tcPr>
            <w:tcW w:w="1820" w:type="dxa"/>
          </w:tcPr>
          <w:p w14:paraId="7E4B3892" w14:textId="77777777" w:rsidR="00FB14F1" w:rsidRPr="00E533F4" w:rsidRDefault="00FB14F1" w:rsidP="00E3773F">
            <w:pPr>
              <w:pStyle w:val="TableNumber"/>
            </w:pPr>
          </w:p>
        </w:tc>
        <w:tc>
          <w:tcPr>
            <w:tcW w:w="1820" w:type="dxa"/>
          </w:tcPr>
          <w:p w14:paraId="26C63246" w14:textId="77777777" w:rsidR="00FB14F1" w:rsidRPr="00E533F4" w:rsidRDefault="00FB14F1" w:rsidP="00E3773F">
            <w:pPr>
              <w:pStyle w:val="1-DocText"/>
            </w:pPr>
          </w:p>
        </w:tc>
        <w:tc>
          <w:tcPr>
            <w:tcW w:w="3640" w:type="dxa"/>
          </w:tcPr>
          <w:p w14:paraId="7B6D8C76" w14:textId="77777777" w:rsidR="00FB14F1" w:rsidRPr="00E533F4" w:rsidRDefault="00FB14F1" w:rsidP="00E3773F">
            <w:pPr>
              <w:pStyle w:val="1-DocText"/>
            </w:pPr>
          </w:p>
        </w:tc>
      </w:tr>
      <w:tr w:rsidR="00FB14F1" w14:paraId="7714AC86" w14:textId="77777777" w:rsidTr="00E338B3">
        <w:tc>
          <w:tcPr>
            <w:tcW w:w="2070" w:type="dxa"/>
          </w:tcPr>
          <w:p w14:paraId="5C6438B8" w14:textId="400C4D60" w:rsidR="00FB14F1" w:rsidRPr="00FB14F1" w:rsidRDefault="00FB14F1" w:rsidP="00FB14F1">
            <w:pPr>
              <w:pStyle w:val="TableBody"/>
            </w:pPr>
            <w:r w:rsidRPr="00FB14F1">
              <w:t>Supervision</w:t>
            </w:r>
          </w:p>
        </w:tc>
        <w:tc>
          <w:tcPr>
            <w:tcW w:w="1820" w:type="dxa"/>
          </w:tcPr>
          <w:p w14:paraId="0BE0CD01" w14:textId="77777777" w:rsidR="00FB14F1" w:rsidRPr="00E533F4" w:rsidRDefault="00FB14F1" w:rsidP="00E3773F">
            <w:pPr>
              <w:pStyle w:val="TableNumber"/>
            </w:pPr>
          </w:p>
        </w:tc>
        <w:tc>
          <w:tcPr>
            <w:tcW w:w="1820" w:type="dxa"/>
          </w:tcPr>
          <w:p w14:paraId="4A2550E4" w14:textId="77777777" w:rsidR="00FB14F1" w:rsidRPr="00E533F4" w:rsidRDefault="00FB14F1" w:rsidP="00E3773F">
            <w:pPr>
              <w:pStyle w:val="1-DocText"/>
            </w:pPr>
          </w:p>
        </w:tc>
        <w:tc>
          <w:tcPr>
            <w:tcW w:w="3640" w:type="dxa"/>
          </w:tcPr>
          <w:p w14:paraId="698D9186" w14:textId="77777777" w:rsidR="00FB14F1" w:rsidRPr="00E533F4" w:rsidRDefault="00FB14F1" w:rsidP="00E3773F">
            <w:pPr>
              <w:pStyle w:val="1-DocText"/>
            </w:pPr>
          </w:p>
        </w:tc>
      </w:tr>
      <w:tr w:rsidR="00FB14F1" w14:paraId="182433D6" w14:textId="77777777" w:rsidTr="00E338B3">
        <w:tc>
          <w:tcPr>
            <w:tcW w:w="2070" w:type="dxa"/>
          </w:tcPr>
          <w:p w14:paraId="54796CB5" w14:textId="28C7E061" w:rsidR="00FB14F1" w:rsidRPr="00FB14F1" w:rsidRDefault="00FB14F1" w:rsidP="00FB14F1">
            <w:pPr>
              <w:pStyle w:val="TableBody"/>
            </w:pPr>
            <w:r w:rsidRPr="00FB14F1">
              <w:t>Data management</w:t>
            </w:r>
          </w:p>
        </w:tc>
        <w:tc>
          <w:tcPr>
            <w:tcW w:w="1820" w:type="dxa"/>
          </w:tcPr>
          <w:p w14:paraId="514C3059" w14:textId="77777777" w:rsidR="00FB14F1" w:rsidRPr="00E533F4" w:rsidRDefault="00FB14F1" w:rsidP="00E3773F">
            <w:pPr>
              <w:pStyle w:val="TableNumber"/>
            </w:pPr>
          </w:p>
        </w:tc>
        <w:tc>
          <w:tcPr>
            <w:tcW w:w="1820" w:type="dxa"/>
          </w:tcPr>
          <w:p w14:paraId="72E7A2F1" w14:textId="77777777" w:rsidR="00FB14F1" w:rsidRPr="00E533F4" w:rsidRDefault="00FB14F1" w:rsidP="00E3773F">
            <w:pPr>
              <w:pStyle w:val="1-DocText"/>
            </w:pPr>
          </w:p>
        </w:tc>
        <w:tc>
          <w:tcPr>
            <w:tcW w:w="3640" w:type="dxa"/>
          </w:tcPr>
          <w:p w14:paraId="5BF31973" w14:textId="77777777" w:rsidR="00FB14F1" w:rsidRPr="00E533F4" w:rsidRDefault="00FB14F1" w:rsidP="00E3773F">
            <w:pPr>
              <w:pStyle w:val="1-DocText"/>
            </w:pPr>
          </w:p>
        </w:tc>
      </w:tr>
      <w:tr w:rsidR="00FB14F1" w14:paraId="7E5FBC88" w14:textId="77777777" w:rsidTr="00E338B3">
        <w:tc>
          <w:tcPr>
            <w:tcW w:w="2070" w:type="dxa"/>
          </w:tcPr>
          <w:p w14:paraId="51DAEE02" w14:textId="58E9A8F0" w:rsidR="00FB14F1" w:rsidRPr="00FB14F1" w:rsidRDefault="00FB14F1" w:rsidP="00FB14F1">
            <w:pPr>
              <w:pStyle w:val="TableBody"/>
            </w:pPr>
            <w:r w:rsidRPr="00FB14F1">
              <w:t>Communication</w:t>
            </w:r>
          </w:p>
        </w:tc>
        <w:tc>
          <w:tcPr>
            <w:tcW w:w="1820" w:type="dxa"/>
          </w:tcPr>
          <w:p w14:paraId="56E99479" w14:textId="77777777" w:rsidR="00FB14F1" w:rsidRPr="00E533F4" w:rsidRDefault="00FB14F1" w:rsidP="00E3773F">
            <w:pPr>
              <w:pStyle w:val="TableNumber"/>
            </w:pPr>
          </w:p>
        </w:tc>
        <w:tc>
          <w:tcPr>
            <w:tcW w:w="1820" w:type="dxa"/>
          </w:tcPr>
          <w:p w14:paraId="59F1C650" w14:textId="77777777" w:rsidR="00FB14F1" w:rsidRPr="00E533F4" w:rsidRDefault="00FB14F1" w:rsidP="00E3773F">
            <w:pPr>
              <w:pStyle w:val="1-DocText"/>
            </w:pPr>
          </w:p>
        </w:tc>
        <w:tc>
          <w:tcPr>
            <w:tcW w:w="3640" w:type="dxa"/>
          </w:tcPr>
          <w:p w14:paraId="2B51DB88" w14:textId="77777777" w:rsidR="00FB14F1" w:rsidRPr="00E533F4" w:rsidRDefault="00FB14F1" w:rsidP="00E3773F">
            <w:pPr>
              <w:pStyle w:val="1-DocText"/>
            </w:pPr>
          </w:p>
        </w:tc>
      </w:tr>
    </w:tbl>
    <w:p w14:paraId="037B3AA7" w14:textId="77777777" w:rsidR="00E533F4" w:rsidRDefault="00E533F4" w:rsidP="00D220A2">
      <w:pPr>
        <w:pBdr>
          <w:top w:val="nil"/>
          <w:left w:val="nil"/>
          <w:bottom w:val="nil"/>
          <w:right w:val="nil"/>
          <w:between w:val="nil"/>
        </w:pBdr>
        <w:jc w:val="both"/>
        <w:rPr>
          <w:rFonts w:ascii="Garamond" w:hAnsi="Garamond" w:cs="Calibri"/>
          <w:color w:val="000000"/>
          <w:sz w:val="22"/>
          <w:szCs w:val="22"/>
        </w:rPr>
      </w:pPr>
    </w:p>
    <w:p w14:paraId="095192B9" w14:textId="4200674D" w:rsidR="008F692E" w:rsidRPr="00FB14F1" w:rsidRDefault="008F692E" w:rsidP="00FB14F1">
      <w:pPr>
        <w:pBdr>
          <w:top w:val="nil"/>
          <w:left w:val="nil"/>
          <w:bottom w:val="nil"/>
          <w:right w:val="nil"/>
          <w:between w:val="nil"/>
        </w:pBdr>
        <w:spacing w:before="120" w:after="120"/>
        <w:jc w:val="both"/>
        <w:rPr>
          <w:rFonts w:ascii="Garamond" w:hAnsi="Garamond" w:cstheme="minorHAnsi"/>
          <w:sz w:val="22"/>
          <w:szCs w:val="22"/>
        </w:rPr>
      </w:pPr>
      <w:r w:rsidRPr="00CF294F">
        <w:rPr>
          <w:rFonts w:ascii="Garamond" w:hAnsi="Garamond" w:cs="Calibri"/>
          <w:color w:val="000000"/>
          <w:sz w:val="22"/>
          <w:szCs w:val="22"/>
        </w:rPr>
        <w:t xml:space="preserve">The </w:t>
      </w:r>
      <w:r w:rsidRPr="00CF294F">
        <w:rPr>
          <w:rFonts w:ascii="Garamond" w:hAnsi="Garamond" w:cstheme="minorHAnsi"/>
          <w:sz w:val="22"/>
          <w:szCs w:val="22"/>
        </w:rPr>
        <w:t>key functions of a continuous distribution system included in the</w:t>
      </w:r>
      <w:r w:rsidR="007B2CD9">
        <w:rPr>
          <w:rFonts w:ascii="Garamond" w:hAnsi="Garamond" w:cstheme="minorHAnsi"/>
          <w:sz w:val="22"/>
          <w:szCs w:val="22"/>
        </w:rPr>
        <w:t xml:space="preserve"> assessment</w:t>
      </w:r>
      <w:r w:rsidRPr="00CF294F">
        <w:rPr>
          <w:rFonts w:ascii="Garamond" w:hAnsi="Garamond" w:cstheme="minorHAnsi"/>
          <w:sz w:val="22"/>
          <w:szCs w:val="22"/>
        </w:rPr>
        <w:t xml:space="preserve"> guide are: </w:t>
      </w:r>
    </w:p>
    <w:p w14:paraId="617B0D2B" w14:textId="77777777" w:rsidR="009E515D" w:rsidRPr="009E515D" w:rsidRDefault="00D220A2" w:rsidP="009E515D">
      <w:pPr>
        <w:pStyle w:val="1-Bullet"/>
        <w:rPr>
          <w:b w:val="0"/>
          <w:bCs/>
          <w:szCs w:val="22"/>
        </w:rPr>
      </w:pPr>
      <w:r w:rsidRPr="00FB14F1">
        <w:rPr>
          <w:rFonts w:cs="Calibri"/>
          <w:bCs/>
          <w:color w:val="000000"/>
          <w:szCs w:val="22"/>
        </w:rPr>
        <w:t>Coordination</w:t>
      </w:r>
      <w:r w:rsidR="008F692E" w:rsidRPr="00FB14F1">
        <w:rPr>
          <w:rFonts w:cs="Calibri"/>
          <w:bCs/>
          <w:color w:val="000000"/>
          <w:szCs w:val="22"/>
        </w:rPr>
        <w:t>.</w:t>
      </w:r>
      <w:r w:rsidR="008F692E" w:rsidRPr="00FB14F1">
        <w:rPr>
          <w:rFonts w:cs="Calibri"/>
          <w:color w:val="000000"/>
          <w:szCs w:val="22"/>
        </w:rPr>
        <w:t xml:space="preserve"> </w:t>
      </w:r>
      <w:r w:rsidR="008F692E" w:rsidRPr="009E515D">
        <w:rPr>
          <w:rFonts w:cs="Calibri"/>
          <w:b w:val="0"/>
          <w:bCs/>
          <w:color w:val="000000"/>
          <w:szCs w:val="22"/>
        </w:rPr>
        <w:t>R</w:t>
      </w:r>
      <w:r w:rsidRPr="009E515D">
        <w:rPr>
          <w:rFonts w:cs="Calibri"/>
          <w:b w:val="0"/>
          <w:bCs/>
          <w:color w:val="000000"/>
          <w:szCs w:val="22"/>
        </w:rPr>
        <w:t xml:space="preserve">eport on number and frequency of </w:t>
      </w:r>
      <w:r w:rsidR="00A731FD" w:rsidRPr="009E515D">
        <w:rPr>
          <w:rFonts w:cs="Calibri"/>
          <w:b w:val="0"/>
          <w:bCs/>
          <w:color w:val="000000"/>
          <w:szCs w:val="22"/>
        </w:rPr>
        <w:t xml:space="preserve">ITN distribution planning and </w:t>
      </w:r>
      <w:r w:rsidRPr="009E515D">
        <w:rPr>
          <w:rFonts w:cs="Calibri"/>
          <w:b w:val="0"/>
          <w:bCs/>
          <w:color w:val="000000"/>
          <w:szCs w:val="22"/>
        </w:rPr>
        <w:t>coordination meetings at central, regional and district level</w:t>
      </w:r>
      <w:r w:rsidR="00A731FD" w:rsidRPr="009E515D">
        <w:rPr>
          <w:rFonts w:cs="Calibri"/>
          <w:b w:val="0"/>
          <w:bCs/>
          <w:color w:val="000000"/>
          <w:szCs w:val="22"/>
        </w:rPr>
        <w:t>s</w:t>
      </w:r>
      <w:r w:rsidRPr="009E515D">
        <w:rPr>
          <w:rFonts w:cs="Calibri"/>
          <w:b w:val="0"/>
          <w:bCs/>
          <w:color w:val="000000"/>
          <w:szCs w:val="22"/>
        </w:rPr>
        <w:t xml:space="preserve">; mechanisms for sharing timely information pertinent to the efficient delivery of </w:t>
      </w:r>
      <w:r w:rsidR="00931C86" w:rsidRPr="009E515D">
        <w:rPr>
          <w:rFonts w:cs="Calibri"/>
          <w:b w:val="0"/>
          <w:bCs/>
          <w:color w:val="000000"/>
          <w:szCs w:val="22"/>
        </w:rPr>
        <w:t>ITN</w:t>
      </w:r>
      <w:r w:rsidRPr="009E515D">
        <w:rPr>
          <w:rFonts w:cs="Calibri"/>
          <w:b w:val="0"/>
          <w:bCs/>
          <w:color w:val="000000"/>
          <w:szCs w:val="22"/>
        </w:rPr>
        <w:t xml:space="preserve">s; mechanisms for sharing operational lessons learned; review monitoring system and data flow associated with continuous </w:t>
      </w:r>
      <w:r w:rsidR="00931C86" w:rsidRPr="009E515D">
        <w:rPr>
          <w:rFonts w:cs="Calibri"/>
          <w:b w:val="0"/>
          <w:bCs/>
          <w:color w:val="000000"/>
          <w:szCs w:val="22"/>
        </w:rPr>
        <w:t>ITN</w:t>
      </w:r>
      <w:r w:rsidRPr="009E515D">
        <w:rPr>
          <w:rFonts w:cs="Calibri"/>
          <w:b w:val="0"/>
          <w:bCs/>
          <w:color w:val="000000"/>
          <w:szCs w:val="22"/>
        </w:rPr>
        <w:t xml:space="preserve"> delivery</w:t>
      </w:r>
      <w:r w:rsidR="007B2CD9" w:rsidRPr="009E515D">
        <w:rPr>
          <w:rFonts w:cs="Calibri"/>
          <w:b w:val="0"/>
          <w:bCs/>
          <w:color w:val="000000"/>
          <w:szCs w:val="22"/>
        </w:rPr>
        <w:t>,</w:t>
      </w:r>
      <w:r w:rsidRPr="009E515D">
        <w:rPr>
          <w:rFonts w:cs="Calibri"/>
          <w:b w:val="0"/>
          <w:bCs/>
          <w:color w:val="000000"/>
          <w:szCs w:val="22"/>
        </w:rPr>
        <w:t xml:space="preserve"> and describe mechanisms for ensuring accountability for taking corrective actions</w:t>
      </w:r>
      <w:r w:rsidR="007B2CD9" w:rsidRPr="009E515D">
        <w:rPr>
          <w:rFonts w:cs="Calibri"/>
          <w:b w:val="0"/>
          <w:bCs/>
          <w:color w:val="000000"/>
          <w:szCs w:val="22"/>
        </w:rPr>
        <w:t>.</w:t>
      </w:r>
      <w:r w:rsidRPr="00FB14F1">
        <w:rPr>
          <w:rFonts w:cs="Calibri"/>
          <w:color w:val="000000"/>
          <w:szCs w:val="22"/>
        </w:rPr>
        <w:t xml:space="preserve"> </w:t>
      </w:r>
    </w:p>
    <w:p w14:paraId="41EFEE49" w14:textId="77777777" w:rsidR="009E515D" w:rsidRPr="009E515D" w:rsidRDefault="00D220A2" w:rsidP="009E515D">
      <w:pPr>
        <w:pStyle w:val="1-Bullet"/>
        <w:rPr>
          <w:b w:val="0"/>
          <w:bCs/>
          <w:szCs w:val="22"/>
        </w:rPr>
      </w:pPr>
      <w:r w:rsidRPr="009E515D">
        <w:rPr>
          <w:rFonts w:cs="Calibri"/>
          <w:bCs/>
          <w:color w:val="000000"/>
          <w:szCs w:val="22"/>
        </w:rPr>
        <w:t>Registering beneficiaries</w:t>
      </w:r>
      <w:r w:rsidR="008F692E" w:rsidRPr="009E515D">
        <w:rPr>
          <w:rFonts w:cs="Calibri"/>
          <w:bCs/>
          <w:color w:val="000000"/>
          <w:szCs w:val="22"/>
        </w:rPr>
        <w:t>.</w:t>
      </w:r>
      <w:r w:rsidR="008F692E" w:rsidRPr="009E515D">
        <w:rPr>
          <w:rFonts w:cs="Calibri"/>
          <w:color w:val="000000"/>
          <w:szCs w:val="22"/>
        </w:rPr>
        <w:t xml:space="preserve"> </w:t>
      </w:r>
      <w:r w:rsidR="008F692E" w:rsidRPr="009E515D">
        <w:rPr>
          <w:rFonts w:cs="Calibri"/>
          <w:b w:val="0"/>
          <w:bCs/>
          <w:color w:val="000000"/>
          <w:szCs w:val="22"/>
        </w:rPr>
        <w:t>R</w:t>
      </w:r>
      <w:r w:rsidRPr="009E515D">
        <w:rPr>
          <w:rFonts w:cs="Calibri"/>
          <w:b w:val="0"/>
          <w:bCs/>
          <w:color w:val="000000"/>
          <w:szCs w:val="22"/>
        </w:rPr>
        <w:t xml:space="preserve">eview and summarize tools used to record beneficiary receipt of an </w:t>
      </w:r>
      <w:r w:rsidR="00931C86" w:rsidRPr="009E515D">
        <w:rPr>
          <w:rFonts w:cs="Calibri"/>
          <w:b w:val="0"/>
          <w:bCs/>
          <w:color w:val="000000"/>
          <w:szCs w:val="22"/>
        </w:rPr>
        <w:t>ITN</w:t>
      </w:r>
      <w:r w:rsidRPr="009E515D">
        <w:rPr>
          <w:rFonts w:cs="Calibri"/>
          <w:b w:val="0"/>
          <w:bCs/>
          <w:color w:val="000000"/>
          <w:szCs w:val="22"/>
        </w:rPr>
        <w:t xml:space="preserve"> at health facility level and reminders to beneficiaries; indicate which information is collected and shared (instructions, method of recording </w:t>
      </w:r>
      <w:r w:rsidR="00931C86" w:rsidRPr="009E515D">
        <w:rPr>
          <w:rFonts w:cs="Calibri"/>
          <w:b w:val="0"/>
          <w:bCs/>
          <w:color w:val="000000"/>
          <w:szCs w:val="22"/>
        </w:rPr>
        <w:t>ITN</w:t>
      </w:r>
      <w:r w:rsidRPr="009E515D">
        <w:rPr>
          <w:rFonts w:cs="Calibri"/>
          <w:b w:val="0"/>
          <w:bCs/>
          <w:color w:val="000000"/>
          <w:szCs w:val="22"/>
        </w:rPr>
        <w:t xml:space="preserve"> receipt, reminders, other health information captured); collect samples/photos of tools as they are used by staff and beneficiaries in the field</w:t>
      </w:r>
      <w:r w:rsidR="007B2CD9" w:rsidRPr="009E515D">
        <w:rPr>
          <w:rFonts w:cs="Calibri"/>
          <w:b w:val="0"/>
          <w:bCs/>
          <w:color w:val="000000"/>
          <w:szCs w:val="22"/>
        </w:rPr>
        <w:t>.</w:t>
      </w:r>
    </w:p>
    <w:p w14:paraId="57265E33" w14:textId="77777777" w:rsidR="009E515D" w:rsidRPr="009E515D" w:rsidRDefault="008F692E" w:rsidP="009E515D">
      <w:pPr>
        <w:pStyle w:val="1-Bullet"/>
        <w:rPr>
          <w:b w:val="0"/>
          <w:bCs/>
          <w:szCs w:val="22"/>
        </w:rPr>
      </w:pPr>
      <w:r w:rsidRPr="009E515D">
        <w:rPr>
          <w:rFonts w:cs="Calibri"/>
          <w:bCs/>
          <w:color w:val="000000"/>
          <w:szCs w:val="22"/>
        </w:rPr>
        <w:t xml:space="preserve">ITN </w:t>
      </w:r>
      <w:r w:rsidR="00D220A2" w:rsidRPr="009E515D">
        <w:rPr>
          <w:rFonts w:cs="Calibri"/>
          <w:bCs/>
          <w:color w:val="000000"/>
          <w:szCs w:val="22"/>
        </w:rPr>
        <w:t>Quantification</w:t>
      </w:r>
      <w:r w:rsidRPr="009E515D">
        <w:rPr>
          <w:rFonts w:cs="Calibri"/>
          <w:bCs/>
          <w:color w:val="000000"/>
          <w:szCs w:val="22"/>
        </w:rPr>
        <w:t>.</w:t>
      </w:r>
      <w:r w:rsidRPr="009E515D">
        <w:rPr>
          <w:rFonts w:cs="Calibri"/>
          <w:color w:val="000000"/>
          <w:szCs w:val="22"/>
        </w:rPr>
        <w:t xml:space="preserve"> </w:t>
      </w:r>
      <w:r w:rsidRPr="009E515D">
        <w:rPr>
          <w:rFonts w:cs="Calibri"/>
          <w:b w:val="0"/>
          <w:bCs/>
          <w:color w:val="000000"/>
          <w:szCs w:val="22"/>
        </w:rPr>
        <w:t>S</w:t>
      </w:r>
      <w:r w:rsidR="00D220A2" w:rsidRPr="009E515D">
        <w:rPr>
          <w:rFonts w:cs="Calibri"/>
          <w:b w:val="0"/>
          <w:bCs/>
          <w:color w:val="000000"/>
          <w:szCs w:val="22"/>
        </w:rPr>
        <w:t xml:space="preserve">ummarize process for forecasting </w:t>
      </w:r>
      <w:r w:rsidR="00931C86" w:rsidRPr="009E515D">
        <w:rPr>
          <w:rFonts w:cs="Calibri"/>
          <w:b w:val="0"/>
          <w:bCs/>
          <w:color w:val="000000"/>
          <w:szCs w:val="22"/>
        </w:rPr>
        <w:t>ITN</w:t>
      </w:r>
      <w:r w:rsidR="00D220A2" w:rsidRPr="009E515D">
        <w:rPr>
          <w:rFonts w:cs="Calibri"/>
          <w:b w:val="0"/>
          <w:bCs/>
          <w:color w:val="000000"/>
          <w:szCs w:val="22"/>
        </w:rPr>
        <w:t xml:space="preserve"> needs and ensuring continuous stock; describe push/pull mechanisms in place and how these work in practice; highlight any recent examples of important under/over estimations and the contributing factors</w:t>
      </w:r>
      <w:r w:rsidR="007B2CD9" w:rsidRPr="009E515D">
        <w:rPr>
          <w:rFonts w:cs="Calibri"/>
          <w:b w:val="0"/>
          <w:bCs/>
          <w:color w:val="000000"/>
          <w:szCs w:val="22"/>
        </w:rPr>
        <w:t>.</w:t>
      </w:r>
    </w:p>
    <w:p w14:paraId="01D4FB83" w14:textId="77777777" w:rsidR="009E515D" w:rsidRPr="009E515D" w:rsidRDefault="00D220A2" w:rsidP="009E515D">
      <w:pPr>
        <w:pStyle w:val="1-Bullet"/>
        <w:rPr>
          <w:b w:val="0"/>
          <w:bCs/>
          <w:szCs w:val="22"/>
        </w:rPr>
      </w:pPr>
      <w:r w:rsidRPr="009E515D">
        <w:rPr>
          <w:rFonts w:cs="Calibri"/>
          <w:bCs/>
          <w:color w:val="000000"/>
          <w:szCs w:val="22"/>
        </w:rPr>
        <w:t>Personnel</w:t>
      </w:r>
      <w:r w:rsidR="00CF294F" w:rsidRPr="009E515D">
        <w:rPr>
          <w:rFonts w:cs="Calibri"/>
          <w:bCs/>
          <w:color w:val="000000"/>
          <w:szCs w:val="22"/>
        </w:rPr>
        <w:t>.</w:t>
      </w:r>
      <w:r w:rsidR="00CF294F" w:rsidRPr="009E515D">
        <w:rPr>
          <w:rFonts w:cs="Calibri"/>
          <w:color w:val="000000"/>
          <w:szCs w:val="22"/>
        </w:rPr>
        <w:t xml:space="preserve"> </w:t>
      </w:r>
      <w:r w:rsidR="00CF294F" w:rsidRPr="009E515D">
        <w:rPr>
          <w:rFonts w:cs="Calibri"/>
          <w:b w:val="0"/>
          <w:bCs/>
          <w:color w:val="000000"/>
          <w:szCs w:val="22"/>
        </w:rPr>
        <w:t>M</w:t>
      </w:r>
      <w:r w:rsidRPr="009E515D">
        <w:rPr>
          <w:rFonts w:cs="Calibri"/>
          <w:b w:val="0"/>
          <w:bCs/>
          <w:color w:val="000000"/>
          <w:szCs w:val="22"/>
        </w:rPr>
        <w:t xml:space="preserve">ap personnel who are involved in continuous </w:t>
      </w:r>
      <w:r w:rsidR="00931C86" w:rsidRPr="009E515D">
        <w:rPr>
          <w:rFonts w:cs="Calibri"/>
          <w:b w:val="0"/>
          <w:bCs/>
          <w:color w:val="000000"/>
          <w:szCs w:val="22"/>
        </w:rPr>
        <w:t>ITN</w:t>
      </w:r>
      <w:r w:rsidRPr="009E515D">
        <w:rPr>
          <w:rFonts w:cs="Calibri"/>
          <w:b w:val="0"/>
          <w:bCs/>
          <w:color w:val="000000"/>
          <w:szCs w:val="22"/>
        </w:rPr>
        <w:t xml:space="preserve"> distribution; review terms of reference, job descriptions and other materials available (and collect samples/photos); highlight critical gaps in personnel that pose risks for efficient continuous </w:t>
      </w:r>
      <w:r w:rsidR="00931C86" w:rsidRPr="009E515D">
        <w:rPr>
          <w:rFonts w:cs="Calibri"/>
          <w:b w:val="0"/>
          <w:bCs/>
          <w:color w:val="000000"/>
          <w:szCs w:val="22"/>
        </w:rPr>
        <w:t>ITN</w:t>
      </w:r>
      <w:r w:rsidRPr="009E515D">
        <w:rPr>
          <w:rFonts w:cs="Calibri"/>
          <w:b w:val="0"/>
          <w:bCs/>
          <w:color w:val="000000"/>
          <w:szCs w:val="22"/>
        </w:rPr>
        <w:t xml:space="preserve"> delivery</w:t>
      </w:r>
      <w:r w:rsidR="007B2CD9" w:rsidRPr="009E515D">
        <w:rPr>
          <w:rFonts w:cs="Calibri"/>
          <w:b w:val="0"/>
          <w:bCs/>
          <w:color w:val="000000"/>
          <w:szCs w:val="22"/>
        </w:rPr>
        <w:t>.</w:t>
      </w:r>
      <w:r w:rsidRPr="009E515D">
        <w:rPr>
          <w:rFonts w:cs="Calibri"/>
          <w:color w:val="000000"/>
          <w:szCs w:val="22"/>
        </w:rPr>
        <w:t xml:space="preserve"> </w:t>
      </w:r>
    </w:p>
    <w:p w14:paraId="4253D9A5" w14:textId="0E35F26C" w:rsidR="009E515D" w:rsidRPr="009E515D" w:rsidRDefault="00D220A2" w:rsidP="009E515D">
      <w:pPr>
        <w:pStyle w:val="1-Bullet"/>
        <w:rPr>
          <w:b w:val="0"/>
          <w:bCs/>
          <w:szCs w:val="22"/>
        </w:rPr>
      </w:pPr>
      <w:r w:rsidRPr="009E515D">
        <w:rPr>
          <w:rFonts w:cs="Calibri"/>
          <w:bCs/>
          <w:color w:val="000000"/>
          <w:szCs w:val="22"/>
        </w:rPr>
        <w:t>Supply chain management</w:t>
      </w:r>
      <w:r w:rsidR="00CF294F" w:rsidRPr="009E515D">
        <w:rPr>
          <w:rFonts w:cs="Calibri"/>
          <w:bCs/>
          <w:color w:val="000000"/>
          <w:szCs w:val="22"/>
        </w:rPr>
        <w:t xml:space="preserve">, </w:t>
      </w:r>
      <w:r w:rsidRPr="009E515D">
        <w:rPr>
          <w:rFonts w:cs="Calibri"/>
          <w:color w:val="000000"/>
          <w:szCs w:val="22"/>
        </w:rPr>
        <w:t xml:space="preserve">transport, </w:t>
      </w:r>
      <w:r w:rsidR="00CF294F" w:rsidRPr="009E515D">
        <w:rPr>
          <w:rFonts w:cs="Calibri"/>
          <w:color w:val="000000"/>
          <w:szCs w:val="22"/>
        </w:rPr>
        <w:t>and</w:t>
      </w:r>
      <w:r w:rsidRPr="009E515D">
        <w:rPr>
          <w:rFonts w:cs="Calibri"/>
          <w:color w:val="000000"/>
          <w:szCs w:val="22"/>
        </w:rPr>
        <w:t xml:space="preserve"> storage</w:t>
      </w:r>
      <w:r w:rsidR="00CF294F" w:rsidRPr="009E515D">
        <w:rPr>
          <w:rFonts w:cs="Calibri"/>
          <w:color w:val="000000"/>
          <w:szCs w:val="22"/>
        </w:rPr>
        <w:t xml:space="preserve">. </w:t>
      </w:r>
      <w:r w:rsidR="00CF294F" w:rsidRPr="009E515D">
        <w:rPr>
          <w:rFonts w:cs="Calibri"/>
          <w:b w:val="0"/>
          <w:bCs/>
          <w:color w:val="000000"/>
          <w:szCs w:val="22"/>
        </w:rPr>
        <w:t>R</w:t>
      </w:r>
      <w:r w:rsidRPr="009E515D">
        <w:rPr>
          <w:rFonts w:cs="Calibri"/>
          <w:b w:val="0"/>
          <w:bCs/>
          <w:color w:val="000000"/>
          <w:szCs w:val="22"/>
        </w:rPr>
        <w:t xml:space="preserve">eview recent tracking tool summaries, storage conditions and security; supply chain reporting; transport systems used at each level; highlight any problems or barriers to on-time and complete delivery </w:t>
      </w:r>
      <w:r w:rsidR="00C72DE2" w:rsidRPr="009E515D">
        <w:rPr>
          <w:rFonts w:cs="Calibri"/>
          <w:b w:val="0"/>
          <w:bCs/>
          <w:color w:val="000000"/>
          <w:szCs w:val="22"/>
        </w:rPr>
        <w:t>and/or causes of stockouts at the facility level</w:t>
      </w:r>
      <w:r w:rsidR="00BF2E1D" w:rsidRPr="009E515D">
        <w:rPr>
          <w:rFonts w:cs="Calibri"/>
          <w:b w:val="0"/>
          <w:bCs/>
          <w:color w:val="000000"/>
          <w:szCs w:val="22"/>
        </w:rPr>
        <w:t>.</w:t>
      </w:r>
    </w:p>
    <w:p w14:paraId="57737B2B" w14:textId="77777777" w:rsidR="009E515D" w:rsidRPr="009E515D" w:rsidRDefault="00D220A2" w:rsidP="009E515D">
      <w:pPr>
        <w:pStyle w:val="1-Bullet"/>
        <w:rPr>
          <w:b w:val="0"/>
          <w:bCs/>
          <w:szCs w:val="22"/>
        </w:rPr>
      </w:pPr>
      <w:r w:rsidRPr="009E515D">
        <w:rPr>
          <w:rFonts w:cs="Calibri"/>
          <w:bCs/>
          <w:color w:val="000000"/>
          <w:szCs w:val="22"/>
        </w:rPr>
        <w:t>Distribution</w:t>
      </w:r>
      <w:r w:rsidR="00CF294F" w:rsidRPr="009E515D">
        <w:rPr>
          <w:rFonts w:cs="Calibri"/>
          <w:bCs/>
          <w:color w:val="000000"/>
          <w:szCs w:val="22"/>
        </w:rPr>
        <w:t>.</w:t>
      </w:r>
      <w:r w:rsidR="00CF294F" w:rsidRPr="009E515D">
        <w:rPr>
          <w:rFonts w:cs="Calibri"/>
          <w:color w:val="000000"/>
          <w:szCs w:val="22"/>
        </w:rPr>
        <w:t xml:space="preserve"> </w:t>
      </w:r>
      <w:r w:rsidR="00CF294F" w:rsidRPr="009E515D">
        <w:rPr>
          <w:rFonts w:cs="Calibri"/>
          <w:b w:val="0"/>
          <w:bCs/>
          <w:color w:val="000000"/>
          <w:szCs w:val="22"/>
        </w:rPr>
        <w:t>R</w:t>
      </w:r>
      <w:r w:rsidRPr="009E515D">
        <w:rPr>
          <w:rFonts w:cs="Calibri"/>
          <w:b w:val="0"/>
          <w:bCs/>
          <w:color w:val="000000"/>
          <w:szCs w:val="22"/>
        </w:rPr>
        <w:t>eview standard operating procedures and distribution</w:t>
      </w:r>
      <w:r w:rsidR="00D3138F" w:rsidRPr="009E515D">
        <w:rPr>
          <w:rFonts w:cs="Calibri"/>
          <w:b w:val="0"/>
          <w:bCs/>
          <w:color w:val="000000"/>
          <w:szCs w:val="22"/>
        </w:rPr>
        <w:t xml:space="preserve"> reports</w:t>
      </w:r>
      <w:r w:rsidRPr="009E515D">
        <w:rPr>
          <w:rFonts w:cs="Calibri"/>
          <w:b w:val="0"/>
          <w:bCs/>
          <w:color w:val="000000"/>
          <w:szCs w:val="22"/>
        </w:rPr>
        <w:t>; observe distribution activities</w:t>
      </w:r>
      <w:r w:rsidR="00D3138F" w:rsidRPr="009E515D">
        <w:rPr>
          <w:rFonts w:cs="Calibri"/>
          <w:b w:val="0"/>
          <w:bCs/>
          <w:color w:val="000000"/>
          <w:szCs w:val="22"/>
        </w:rPr>
        <w:t xml:space="preserve"> (where feasible)</w:t>
      </w:r>
      <w:r w:rsidRPr="009E515D">
        <w:rPr>
          <w:rFonts w:cs="Calibri"/>
          <w:b w:val="0"/>
          <w:bCs/>
          <w:color w:val="000000"/>
          <w:szCs w:val="22"/>
        </w:rPr>
        <w:t>; summarize problems or barriers to effective and complete distribution of nets to beneficiaries</w:t>
      </w:r>
      <w:r w:rsidR="007B2CD9" w:rsidRPr="009E515D">
        <w:rPr>
          <w:rFonts w:cs="Calibri"/>
          <w:b w:val="0"/>
          <w:bCs/>
          <w:color w:val="000000"/>
          <w:szCs w:val="22"/>
        </w:rPr>
        <w:t>.</w:t>
      </w:r>
    </w:p>
    <w:p w14:paraId="16081CE7" w14:textId="77777777" w:rsidR="009E515D" w:rsidRPr="009E515D" w:rsidRDefault="00D220A2" w:rsidP="009E515D">
      <w:pPr>
        <w:pStyle w:val="1-Bullet"/>
        <w:rPr>
          <w:b w:val="0"/>
          <w:bCs/>
          <w:szCs w:val="22"/>
        </w:rPr>
      </w:pPr>
      <w:r w:rsidRPr="009E515D">
        <w:rPr>
          <w:rFonts w:cs="Calibri"/>
          <w:bCs/>
          <w:color w:val="000000"/>
          <w:szCs w:val="22"/>
        </w:rPr>
        <w:t>Training</w:t>
      </w:r>
      <w:r w:rsidR="00CF294F" w:rsidRPr="009E515D">
        <w:rPr>
          <w:rFonts w:cs="Calibri"/>
          <w:color w:val="000000"/>
          <w:szCs w:val="22"/>
        </w:rPr>
        <w:t xml:space="preserve">. </w:t>
      </w:r>
      <w:r w:rsidR="00CF294F" w:rsidRPr="009E515D">
        <w:rPr>
          <w:rFonts w:cs="Calibri"/>
          <w:b w:val="0"/>
          <w:bCs/>
          <w:color w:val="000000"/>
          <w:szCs w:val="22"/>
        </w:rPr>
        <w:t>R</w:t>
      </w:r>
      <w:r w:rsidR="00D3138F" w:rsidRPr="009E515D">
        <w:rPr>
          <w:rFonts w:cs="Calibri"/>
          <w:b w:val="0"/>
          <w:bCs/>
          <w:color w:val="000000"/>
          <w:szCs w:val="22"/>
        </w:rPr>
        <w:t xml:space="preserve">eview </w:t>
      </w:r>
      <w:r w:rsidRPr="009E515D">
        <w:rPr>
          <w:rFonts w:cs="Calibri"/>
          <w:b w:val="0"/>
          <w:bCs/>
          <w:color w:val="000000"/>
          <w:szCs w:val="22"/>
        </w:rPr>
        <w:t xml:space="preserve">continuous </w:t>
      </w:r>
      <w:r w:rsidR="00931C86" w:rsidRPr="009E515D">
        <w:rPr>
          <w:rFonts w:cs="Calibri"/>
          <w:b w:val="0"/>
          <w:bCs/>
          <w:color w:val="000000"/>
          <w:szCs w:val="22"/>
        </w:rPr>
        <w:t>ITN</w:t>
      </w:r>
      <w:r w:rsidRPr="009E515D">
        <w:rPr>
          <w:rFonts w:cs="Calibri"/>
          <w:b w:val="0"/>
          <w:bCs/>
          <w:color w:val="000000"/>
          <w:szCs w:val="22"/>
        </w:rPr>
        <w:t xml:space="preserve"> delivery training and the training curricula</w:t>
      </w:r>
      <w:r w:rsidR="00D3138F" w:rsidRPr="009E515D">
        <w:rPr>
          <w:rFonts w:cs="Calibri"/>
          <w:b w:val="0"/>
          <w:bCs/>
          <w:color w:val="000000"/>
          <w:szCs w:val="22"/>
        </w:rPr>
        <w:t xml:space="preserve"> (stand-alone and as included in other malaria or health training)</w:t>
      </w:r>
      <w:r w:rsidR="007B2CD9" w:rsidRPr="009E515D">
        <w:rPr>
          <w:rFonts w:cs="Calibri"/>
          <w:b w:val="0"/>
          <w:bCs/>
          <w:color w:val="000000"/>
          <w:szCs w:val="22"/>
        </w:rPr>
        <w:t>;</w:t>
      </w:r>
      <w:r w:rsidRPr="009E515D">
        <w:rPr>
          <w:rFonts w:cs="Calibri"/>
          <w:b w:val="0"/>
          <w:bCs/>
          <w:color w:val="000000"/>
          <w:szCs w:val="22"/>
        </w:rPr>
        <w:t xml:space="preserve"> completeness and timeliness of recently planned training; quality of training provided</w:t>
      </w:r>
      <w:r w:rsidR="007B2CD9" w:rsidRPr="009E515D">
        <w:rPr>
          <w:rFonts w:cs="Calibri"/>
          <w:b w:val="0"/>
          <w:bCs/>
          <w:color w:val="000000"/>
          <w:szCs w:val="22"/>
        </w:rPr>
        <w:t>.</w:t>
      </w:r>
    </w:p>
    <w:p w14:paraId="7C6A7B07" w14:textId="77777777" w:rsidR="009E515D" w:rsidRPr="009E515D" w:rsidRDefault="00D220A2" w:rsidP="009E515D">
      <w:pPr>
        <w:pStyle w:val="1-Bullet"/>
        <w:rPr>
          <w:b w:val="0"/>
          <w:bCs/>
          <w:szCs w:val="22"/>
        </w:rPr>
      </w:pPr>
      <w:r w:rsidRPr="009E515D">
        <w:rPr>
          <w:rFonts w:cs="Calibri"/>
          <w:bCs/>
          <w:color w:val="000000"/>
          <w:szCs w:val="22"/>
        </w:rPr>
        <w:t>Supervision and reporting</w:t>
      </w:r>
      <w:r w:rsidR="00CF294F" w:rsidRPr="009E515D">
        <w:rPr>
          <w:rFonts w:cs="Calibri"/>
          <w:bCs/>
          <w:color w:val="000000"/>
          <w:szCs w:val="22"/>
        </w:rPr>
        <w:t>.</w:t>
      </w:r>
      <w:r w:rsidR="00CF294F" w:rsidRPr="009E515D">
        <w:rPr>
          <w:rFonts w:cs="Calibri"/>
          <w:color w:val="000000"/>
          <w:szCs w:val="22"/>
        </w:rPr>
        <w:t xml:space="preserve"> </w:t>
      </w:r>
      <w:r w:rsidR="00CF294F" w:rsidRPr="009E515D">
        <w:rPr>
          <w:rFonts w:cs="Calibri"/>
          <w:b w:val="0"/>
          <w:bCs/>
          <w:color w:val="000000"/>
          <w:szCs w:val="22"/>
        </w:rPr>
        <w:t>R</w:t>
      </w:r>
      <w:r w:rsidRPr="009E515D">
        <w:rPr>
          <w:rFonts w:cs="Calibri"/>
          <w:b w:val="0"/>
          <w:bCs/>
          <w:color w:val="000000"/>
          <w:szCs w:val="22"/>
        </w:rPr>
        <w:t xml:space="preserve">eview </w:t>
      </w:r>
      <w:r w:rsidR="0097510E" w:rsidRPr="009E515D">
        <w:rPr>
          <w:rFonts w:cs="Calibri"/>
          <w:b w:val="0"/>
          <w:bCs/>
          <w:color w:val="000000"/>
          <w:szCs w:val="22"/>
        </w:rPr>
        <w:t xml:space="preserve">supervision checklists and </w:t>
      </w:r>
      <w:r w:rsidRPr="009E515D">
        <w:rPr>
          <w:rFonts w:cs="Calibri"/>
          <w:b w:val="0"/>
          <w:bCs/>
          <w:color w:val="000000"/>
          <w:szCs w:val="22"/>
        </w:rPr>
        <w:t xml:space="preserve">system for providing supervision to </w:t>
      </w:r>
      <w:r w:rsidR="0097510E" w:rsidRPr="009E515D">
        <w:rPr>
          <w:rFonts w:cs="Calibri"/>
          <w:b w:val="0"/>
          <w:bCs/>
          <w:color w:val="000000"/>
          <w:szCs w:val="22"/>
        </w:rPr>
        <w:t>ITN distribution</w:t>
      </w:r>
      <w:r w:rsidRPr="009E515D">
        <w:rPr>
          <w:rFonts w:cs="Calibri"/>
          <w:b w:val="0"/>
          <w:bCs/>
          <w:color w:val="000000"/>
          <w:szCs w:val="22"/>
        </w:rPr>
        <w:t xml:space="preserve"> staff and operations; review system for sharing best practice and insights gathered during supervision activities</w:t>
      </w:r>
      <w:r w:rsidR="007B2CD9" w:rsidRPr="009E515D">
        <w:rPr>
          <w:rFonts w:cs="Calibri"/>
          <w:b w:val="0"/>
          <w:bCs/>
          <w:color w:val="000000"/>
          <w:szCs w:val="22"/>
        </w:rPr>
        <w:t>.</w:t>
      </w:r>
    </w:p>
    <w:p w14:paraId="5C8B68D0" w14:textId="77777777" w:rsidR="009E515D" w:rsidRPr="009E515D" w:rsidRDefault="00D220A2" w:rsidP="009E515D">
      <w:pPr>
        <w:pStyle w:val="1-Bullet"/>
        <w:rPr>
          <w:b w:val="0"/>
          <w:bCs/>
          <w:szCs w:val="22"/>
        </w:rPr>
      </w:pPr>
      <w:r w:rsidRPr="009E515D">
        <w:rPr>
          <w:rFonts w:cs="Calibri"/>
          <w:bCs/>
          <w:color w:val="000000" w:themeColor="text1"/>
          <w:szCs w:val="22"/>
        </w:rPr>
        <w:t>Communication</w:t>
      </w:r>
      <w:r w:rsidRPr="009E515D">
        <w:rPr>
          <w:rFonts w:cs="Calibri"/>
          <w:color w:val="000000" w:themeColor="text1"/>
          <w:szCs w:val="22"/>
        </w:rPr>
        <w:t xml:space="preserve"> (National strategy)</w:t>
      </w:r>
      <w:r w:rsidR="00CF294F" w:rsidRPr="009E515D">
        <w:rPr>
          <w:rFonts w:cs="Calibri"/>
          <w:color w:val="000000" w:themeColor="text1"/>
          <w:szCs w:val="22"/>
        </w:rPr>
        <w:t xml:space="preserve">. </w:t>
      </w:r>
      <w:r w:rsidR="00CF294F" w:rsidRPr="009E515D">
        <w:rPr>
          <w:rFonts w:cs="Calibri"/>
          <w:b w:val="0"/>
          <w:bCs/>
          <w:color w:val="000000" w:themeColor="text1"/>
          <w:szCs w:val="22"/>
        </w:rPr>
        <w:t>R</w:t>
      </w:r>
      <w:r w:rsidRPr="009E515D">
        <w:rPr>
          <w:rFonts w:cs="Calibri"/>
          <w:b w:val="0"/>
          <w:bCs/>
          <w:color w:val="000000" w:themeColor="text1"/>
          <w:szCs w:val="22"/>
        </w:rPr>
        <w:t xml:space="preserve">eview quality of national </w:t>
      </w:r>
      <w:r w:rsidR="00931C86" w:rsidRPr="009E515D">
        <w:rPr>
          <w:rFonts w:cs="Calibri"/>
          <w:b w:val="0"/>
          <w:bCs/>
          <w:color w:val="000000" w:themeColor="text1"/>
          <w:szCs w:val="22"/>
        </w:rPr>
        <w:t>ITN</w:t>
      </w:r>
      <w:r w:rsidRPr="009E515D">
        <w:rPr>
          <w:rFonts w:cs="Calibri"/>
          <w:b w:val="0"/>
          <w:bCs/>
          <w:color w:val="000000" w:themeColor="text1"/>
          <w:szCs w:val="22"/>
        </w:rPr>
        <w:t xml:space="preserve"> communication strategy and its implementation (overall focus on priority issues, target groups, level of coverage); review materials produced, the standardization and harmonization of messages and materials, and availability and use of appropriate &amp; effective materials; gauge comprehension/exposure of key messages via interviews, reports and third party media monitor if available</w:t>
      </w:r>
      <w:r w:rsidR="007B2CD9" w:rsidRPr="009E515D">
        <w:rPr>
          <w:rFonts w:cs="Calibri"/>
          <w:b w:val="0"/>
          <w:bCs/>
          <w:color w:val="000000" w:themeColor="text1"/>
          <w:szCs w:val="22"/>
        </w:rPr>
        <w:t>.</w:t>
      </w:r>
    </w:p>
    <w:p w14:paraId="46F80914" w14:textId="27F5C062" w:rsidR="00BD4D23" w:rsidRPr="009E515D" w:rsidRDefault="00D220A2" w:rsidP="009E515D">
      <w:pPr>
        <w:pStyle w:val="1-Bullet"/>
        <w:rPr>
          <w:b w:val="0"/>
          <w:bCs/>
          <w:szCs w:val="22"/>
        </w:rPr>
      </w:pPr>
      <w:r w:rsidRPr="009E515D">
        <w:rPr>
          <w:rFonts w:cs="Calibri"/>
          <w:color w:val="000000" w:themeColor="text1"/>
          <w:szCs w:val="22"/>
        </w:rPr>
        <w:t>Communication (Distribution locations)</w:t>
      </w:r>
      <w:r w:rsidR="00CF294F" w:rsidRPr="009E515D">
        <w:rPr>
          <w:rFonts w:cs="Calibri"/>
          <w:color w:val="000000" w:themeColor="text1"/>
          <w:szCs w:val="22"/>
        </w:rPr>
        <w:t xml:space="preserve">. </w:t>
      </w:r>
      <w:r w:rsidR="00CF294F" w:rsidRPr="009E515D">
        <w:rPr>
          <w:rFonts w:cs="Calibri"/>
          <w:b w:val="0"/>
          <w:bCs/>
          <w:color w:val="000000" w:themeColor="text1"/>
          <w:szCs w:val="22"/>
        </w:rPr>
        <w:t>R</w:t>
      </w:r>
      <w:r w:rsidRPr="009E515D">
        <w:rPr>
          <w:rFonts w:cs="Calibri"/>
          <w:b w:val="0"/>
          <w:bCs/>
          <w:color w:val="000000" w:themeColor="text1"/>
          <w:szCs w:val="22"/>
        </w:rPr>
        <w:t xml:space="preserve">eview exposure to messages (e.g., in </w:t>
      </w:r>
      <w:r w:rsidR="0097510E" w:rsidRPr="009E515D">
        <w:rPr>
          <w:rFonts w:cs="Calibri"/>
          <w:b w:val="0"/>
          <w:bCs/>
          <w:color w:val="000000" w:themeColor="text1"/>
          <w:szCs w:val="22"/>
        </w:rPr>
        <w:t>health facility</w:t>
      </w:r>
      <w:r w:rsidRPr="009E515D">
        <w:rPr>
          <w:rFonts w:cs="Calibri"/>
          <w:b w:val="0"/>
          <w:bCs/>
          <w:color w:val="000000" w:themeColor="text1"/>
          <w:szCs w:val="22"/>
        </w:rPr>
        <w:t xml:space="preserve"> waiting room</w:t>
      </w:r>
      <w:r w:rsidR="0097510E" w:rsidRPr="009E515D">
        <w:rPr>
          <w:rFonts w:cs="Calibri"/>
          <w:b w:val="0"/>
          <w:bCs/>
          <w:color w:val="000000" w:themeColor="text1"/>
          <w:szCs w:val="22"/>
        </w:rPr>
        <w:t>s during ANC/EPI services, via community leaders and community health worker</w:t>
      </w:r>
      <w:r w:rsidRPr="009E515D">
        <w:rPr>
          <w:rFonts w:cs="Calibri"/>
          <w:b w:val="0"/>
          <w:bCs/>
          <w:color w:val="000000" w:themeColor="text1"/>
          <w:szCs w:val="22"/>
        </w:rPr>
        <w:t>); review materials available to health workers to support message delivery; collect samples and photos from the field</w:t>
      </w:r>
      <w:r w:rsidR="009E515D" w:rsidRPr="009E515D">
        <w:rPr>
          <w:rFonts w:cs="Calibri"/>
          <w:b w:val="0"/>
          <w:bCs/>
          <w:color w:val="000000" w:themeColor="text1"/>
          <w:szCs w:val="22"/>
        </w:rPr>
        <w:t>.</w:t>
      </w:r>
    </w:p>
    <w:p w14:paraId="5A7DABAF" w14:textId="522191AE" w:rsidR="00BD4D23" w:rsidRDefault="00BD4D23" w:rsidP="00FB14F1">
      <w:pPr>
        <w:pStyle w:val="NoSpacing"/>
        <w:spacing w:before="120" w:after="120"/>
        <w:jc w:val="both"/>
        <w:rPr>
          <w:rFonts w:ascii="Garamond" w:hAnsi="Garamond" w:cs="Times New Roman"/>
          <w:color w:val="0D0D0D" w:themeColor="text1" w:themeTint="F2"/>
        </w:rPr>
      </w:pPr>
      <w:r w:rsidRPr="00FB14F1">
        <w:rPr>
          <w:rFonts w:ascii="Garamond" w:hAnsi="Garamond" w:cs="Times New Roman"/>
          <w:color w:val="0D0D0D" w:themeColor="text1" w:themeTint="F2"/>
        </w:rPr>
        <w:lastRenderedPageBreak/>
        <w:t>It should be noted that these activities may be carried out concurrently or may overlap</w:t>
      </w:r>
      <w:r w:rsidR="006E5B73">
        <w:rPr>
          <w:rFonts w:ascii="Garamond" w:hAnsi="Garamond" w:cs="Times New Roman"/>
          <w:color w:val="0D0D0D" w:themeColor="text1" w:themeTint="F2"/>
        </w:rPr>
        <w:t>.</w:t>
      </w:r>
    </w:p>
    <w:p w14:paraId="1CFD6457" w14:textId="6E56A01C" w:rsidR="00C92BA4" w:rsidRDefault="00C92064" w:rsidP="001D3F0A">
      <w:pPr>
        <w:pStyle w:val="Heading3"/>
      </w:pPr>
      <w:bookmarkStart w:id="50" w:name="_Toc43130677"/>
      <w:bookmarkStart w:id="51" w:name="_Toc525834984"/>
      <w:r>
        <w:t xml:space="preserve">Assessment </w:t>
      </w:r>
      <w:r w:rsidR="001D3F0A">
        <w:t>Implementation Tools</w:t>
      </w:r>
      <w:bookmarkEnd w:id="50"/>
      <w:r w:rsidR="00C92BA4">
        <w:t xml:space="preserve">  </w:t>
      </w:r>
    </w:p>
    <w:bookmarkEnd w:id="51"/>
    <w:p w14:paraId="121078F7" w14:textId="17A29839" w:rsidR="00C92BA4" w:rsidRDefault="00C92BA4" w:rsidP="00F3101A">
      <w:pPr>
        <w:pStyle w:val="NoSpacing"/>
        <w:jc w:val="both"/>
        <w:rPr>
          <w:rFonts w:ascii="Times New Roman" w:hAnsi="Times New Roman" w:cs="Times New Roman"/>
          <w:color w:val="000000"/>
          <w:sz w:val="24"/>
          <w:szCs w:val="24"/>
        </w:rPr>
      </w:pPr>
    </w:p>
    <w:tbl>
      <w:tblPr>
        <w:tblStyle w:val="TableGrid"/>
        <w:tblW w:w="9535" w:type="dxa"/>
        <w:tblLook w:val="04A0" w:firstRow="1" w:lastRow="0" w:firstColumn="1" w:lastColumn="0" w:noHBand="0" w:noVBand="1"/>
      </w:tblPr>
      <w:tblGrid>
        <w:gridCol w:w="775"/>
        <w:gridCol w:w="8760"/>
      </w:tblGrid>
      <w:tr w:rsidR="00316D0A" w:rsidRPr="00C00FAC" w14:paraId="61585C23" w14:textId="77777777" w:rsidTr="00E3773F">
        <w:tc>
          <w:tcPr>
            <w:tcW w:w="0" w:type="auto"/>
            <w:shd w:val="clear" w:color="auto" w:fill="DBE5F1" w:themeFill="accent1" w:themeFillTint="33"/>
          </w:tcPr>
          <w:p w14:paraId="7DBB3250" w14:textId="77777777" w:rsidR="00316D0A" w:rsidRPr="00C00FAC" w:rsidRDefault="00316D0A" w:rsidP="00A93BA5">
            <w:pPr>
              <w:pStyle w:val="Heading5"/>
              <w:shd w:val="clear" w:color="auto" w:fill="auto"/>
              <w:spacing w:before="0" w:after="0"/>
              <w:ind w:left="0"/>
            </w:pPr>
            <w:r w:rsidRPr="00C00FAC">
              <w:t>Tool</w:t>
            </w:r>
          </w:p>
        </w:tc>
        <w:tc>
          <w:tcPr>
            <w:tcW w:w="8760" w:type="dxa"/>
            <w:shd w:val="clear" w:color="auto" w:fill="DBE5F1" w:themeFill="accent1" w:themeFillTint="33"/>
          </w:tcPr>
          <w:p w14:paraId="11861ECD" w14:textId="77777777" w:rsidR="00316D0A" w:rsidRPr="00C00FAC" w:rsidRDefault="00316D0A" w:rsidP="00A93BA5">
            <w:pPr>
              <w:pStyle w:val="Heading5"/>
              <w:shd w:val="clear" w:color="auto" w:fill="auto"/>
              <w:spacing w:before="0" w:after="0"/>
              <w:ind w:left="0"/>
            </w:pPr>
            <w:r w:rsidRPr="00C00FAC">
              <w:t>Name</w:t>
            </w:r>
          </w:p>
        </w:tc>
      </w:tr>
      <w:tr w:rsidR="00316D0A" w:rsidRPr="00402FA4" w14:paraId="39A77D9D" w14:textId="77777777" w:rsidTr="00E3773F">
        <w:tc>
          <w:tcPr>
            <w:tcW w:w="0" w:type="auto"/>
            <w:shd w:val="clear" w:color="auto" w:fill="auto"/>
            <w:vAlign w:val="center"/>
          </w:tcPr>
          <w:p w14:paraId="46C57685" w14:textId="77777777" w:rsidR="00316D0A" w:rsidRDefault="00316D0A" w:rsidP="00A93BA5">
            <w:pPr>
              <w:pStyle w:val="Heading5"/>
              <w:shd w:val="clear" w:color="auto" w:fill="auto"/>
              <w:spacing w:before="0" w:after="0"/>
              <w:ind w:left="0"/>
              <w:jc w:val="center"/>
              <w:rPr>
                <w:b w:val="0"/>
                <w:bCs/>
              </w:rPr>
            </w:pPr>
            <w:r>
              <w:rPr>
                <w:b w:val="0"/>
                <w:bCs/>
              </w:rPr>
              <w:t>8</w:t>
            </w:r>
          </w:p>
        </w:tc>
        <w:tc>
          <w:tcPr>
            <w:tcW w:w="8760" w:type="dxa"/>
            <w:shd w:val="clear" w:color="auto" w:fill="auto"/>
          </w:tcPr>
          <w:p w14:paraId="2060B90A" w14:textId="77777777" w:rsidR="00316D0A" w:rsidRPr="00402FA4" w:rsidRDefault="00316D0A" w:rsidP="00A93BA5">
            <w:pPr>
              <w:pStyle w:val="Heading5"/>
              <w:shd w:val="clear" w:color="auto" w:fill="auto"/>
              <w:spacing w:before="0" w:after="0"/>
              <w:ind w:left="0"/>
              <w:rPr>
                <w:b w:val="0"/>
                <w:bCs/>
              </w:rPr>
            </w:pPr>
            <w:r w:rsidRPr="007C2BC2">
              <w:rPr>
                <w:b w:val="0"/>
                <w:bCs/>
              </w:rPr>
              <w:t>Agenda, Introductory stakeholder meeting</w:t>
            </w:r>
          </w:p>
        </w:tc>
      </w:tr>
      <w:tr w:rsidR="00316D0A" w:rsidRPr="00402FA4" w14:paraId="116A0E58" w14:textId="77777777" w:rsidTr="00E3773F">
        <w:tc>
          <w:tcPr>
            <w:tcW w:w="0" w:type="auto"/>
            <w:shd w:val="clear" w:color="auto" w:fill="auto"/>
            <w:vAlign w:val="center"/>
          </w:tcPr>
          <w:p w14:paraId="698AC6BA" w14:textId="77777777" w:rsidR="00316D0A" w:rsidRDefault="00316D0A" w:rsidP="00A93BA5">
            <w:pPr>
              <w:pStyle w:val="Heading5"/>
              <w:shd w:val="clear" w:color="auto" w:fill="auto"/>
              <w:spacing w:before="0" w:after="0"/>
              <w:ind w:left="0"/>
              <w:jc w:val="center"/>
              <w:rPr>
                <w:b w:val="0"/>
                <w:bCs/>
              </w:rPr>
            </w:pPr>
            <w:r>
              <w:rPr>
                <w:b w:val="0"/>
                <w:bCs/>
              </w:rPr>
              <w:t>9</w:t>
            </w:r>
          </w:p>
        </w:tc>
        <w:tc>
          <w:tcPr>
            <w:tcW w:w="8760" w:type="dxa"/>
            <w:shd w:val="clear" w:color="auto" w:fill="auto"/>
          </w:tcPr>
          <w:p w14:paraId="0BF6AD7B" w14:textId="77777777" w:rsidR="00316D0A" w:rsidRPr="00402FA4" w:rsidRDefault="00316D0A" w:rsidP="00A93BA5">
            <w:pPr>
              <w:pStyle w:val="Heading5"/>
              <w:shd w:val="clear" w:color="auto" w:fill="auto"/>
              <w:spacing w:before="0" w:after="0"/>
              <w:ind w:left="0"/>
              <w:rPr>
                <w:b w:val="0"/>
                <w:bCs/>
              </w:rPr>
            </w:pPr>
            <w:r w:rsidRPr="007C2BC2">
              <w:rPr>
                <w:b w:val="0"/>
                <w:bCs/>
              </w:rPr>
              <w:t>Assessment Discussion Guide, Excel</w:t>
            </w:r>
          </w:p>
        </w:tc>
      </w:tr>
    </w:tbl>
    <w:p w14:paraId="550EF446" w14:textId="77777777" w:rsidR="009F5E10" w:rsidRDefault="009F5E10" w:rsidP="00F3101A">
      <w:pPr>
        <w:pStyle w:val="NoSpacing"/>
        <w:jc w:val="both"/>
        <w:rPr>
          <w:rFonts w:ascii="Times New Roman" w:hAnsi="Times New Roman" w:cs="Times New Roman"/>
          <w:color w:val="000000"/>
          <w:sz w:val="24"/>
          <w:szCs w:val="24"/>
        </w:rPr>
      </w:pPr>
    </w:p>
    <w:p w14:paraId="5177DDF2" w14:textId="71B4079B" w:rsidR="00E617F8" w:rsidRDefault="009F5E10" w:rsidP="00E617F8">
      <w:pPr>
        <w:pStyle w:val="Heading2"/>
      </w:pPr>
      <w:bookmarkStart w:id="52" w:name="_Toc43130678"/>
      <w:r>
        <w:t xml:space="preserve">Assessment </w:t>
      </w:r>
      <w:r w:rsidR="0016351D">
        <w:t>Reporting</w:t>
      </w:r>
      <w:bookmarkEnd w:id="52"/>
      <w:r w:rsidR="0016351D">
        <w:t xml:space="preserve"> </w:t>
      </w:r>
    </w:p>
    <w:p w14:paraId="2294B28E" w14:textId="6F0E7E3E" w:rsidR="00772C4B" w:rsidRPr="00772C4B" w:rsidRDefault="00772C4B" w:rsidP="00772C4B">
      <w:r w:rsidRPr="00E617F8">
        <w:rPr>
          <w:rFonts w:ascii="Garamond" w:hAnsi="Garamond"/>
          <w:sz w:val="22"/>
          <w:szCs w:val="22"/>
        </w:rPr>
        <w:t xml:space="preserve">Data collection and </w:t>
      </w:r>
      <w:r>
        <w:rPr>
          <w:rFonts w:ascii="Garamond" w:hAnsi="Garamond"/>
          <w:sz w:val="22"/>
          <w:szCs w:val="22"/>
        </w:rPr>
        <w:t xml:space="preserve">key informant interviews </w:t>
      </w:r>
      <w:r w:rsidRPr="00E617F8">
        <w:rPr>
          <w:rFonts w:ascii="Garamond" w:hAnsi="Garamond"/>
          <w:sz w:val="22"/>
          <w:szCs w:val="22"/>
        </w:rPr>
        <w:t xml:space="preserve">provide </w:t>
      </w:r>
      <w:r>
        <w:rPr>
          <w:rFonts w:ascii="Garamond" w:hAnsi="Garamond"/>
          <w:sz w:val="22"/>
          <w:szCs w:val="22"/>
        </w:rPr>
        <w:t>robust inputs, captured in the Excel Discussion Guide template (Tool 9)</w:t>
      </w:r>
      <w:r w:rsidRPr="00E617F8">
        <w:rPr>
          <w:rFonts w:ascii="Garamond" w:hAnsi="Garamond"/>
          <w:sz w:val="22"/>
          <w:szCs w:val="22"/>
        </w:rPr>
        <w:t>.</w:t>
      </w:r>
    </w:p>
    <w:p w14:paraId="1D053DC4" w14:textId="05316EC4" w:rsidR="00E617F8" w:rsidRPr="009E515D" w:rsidRDefault="0016351D" w:rsidP="00E617F8">
      <w:pPr>
        <w:pStyle w:val="Heading3"/>
      </w:pPr>
      <w:bookmarkStart w:id="53" w:name="_Toc43130679"/>
      <w:r>
        <w:t xml:space="preserve">Step Seven: Synthesize </w:t>
      </w:r>
      <w:r w:rsidR="00E617F8">
        <w:t>O</w:t>
      </w:r>
      <w:r>
        <w:t>bservations</w:t>
      </w:r>
      <w:bookmarkEnd w:id="53"/>
      <w:r>
        <w:t xml:space="preserve"> </w:t>
      </w:r>
    </w:p>
    <w:p w14:paraId="28D29E88" w14:textId="2600FFA3" w:rsidR="00E617F8" w:rsidRPr="009E515D" w:rsidRDefault="00E617F8" w:rsidP="009E515D">
      <w:pPr>
        <w:spacing w:before="120" w:after="120"/>
        <w:jc w:val="both"/>
        <w:rPr>
          <w:rFonts w:ascii="Garamond" w:hAnsi="Garamond" w:cstheme="minorHAnsi"/>
          <w:color w:val="000000" w:themeColor="text1"/>
          <w:sz w:val="22"/>
          <w:szCs w:val="22"/>
          <w:lang w:val="en"/>
        </w:rPr>
      </w:pPr>
      <w:r w:rsidRPr="00E617F8">
        <w:rPr>
          <w:rFonts w:ascii="Garamond" w:hAnsi="Garamond" w:cstheme="minorHAnsi"/>
          <w:color w:val="000000" w:themeColor="text1"/>
          <w:sz w:val="22"/>
          <w:szCs w:val="22"/>
        </w:rPr>
        <w:t xml:space="preserve">As </w:t>
      </w:r>
      <w:r w:rsidR="003F3F3B">
        <w:rPr>
          <w:rFonts w:ascii="Garamond" w:hAnsi="Garamond" w:cstheme="minorHAnsi"/>
          <w:color w:val="000000" w:themeColor="text1"/>
          <w:sz w:val="22"/>
          <w:szCs w:val="22"/>
        </w:rPr>
        <w:t>key informant interviews</w:t>
      </w:r>
      <w:r w:rsidRPr="00E617F8">
        <w:rPr>
          <w:rFonts w:ascii="Garamond" w:hAnsi="Garamond" w:cstheme="minorHAnsi"/>
          <w:color w:val="000000" w:themeColor="text1"/>
          <w:sz w:val="22"/>
          <w:szCs w:val="22"/>
        </w:rPr>
        <w:t xml:space="preserve"> are completed, it is important for the assessment team to review the body of information collected and pull out key trends that emerge at each level for each of the functional areas. </w:t>
      </w:r>
      <w:r w:rsidR="00260A0C">
        <w:rPr>
          <w:rFonts w:ascii="Garamond" w:hAnsi="Garamond" w:cstheme="minorHAnsi"/>
          <w:color w:val="000000" w:themeColor="text1"/>
          <w:sz w:val="22"/>
          <w:szCs w:val="22"/>
        </w:rPr>
        <w:t xml:space="preserve"> </w:t>
      </w:r>
      <w:r w:rsidRPr="00E617F8">
        <w:rPr>
          <w:rFonts w:ascii="Garamond" w:hAnsi="Garamond" w:cstheme="minorHAnsi"/>
          <w:color w:val="000000" w:themeColor="text1"/>
          <w:sz w:val="22"/>
          <w:szCs w:val="22"/>
        </w:rPr>
        <w:t xml:space="preserve">This can be done through individual review and </w:t>
      </w:r>
      <w:r w:rsidR="00D3138F">
        <w:rPr>
          <w:rFonts w:ascii="Garamond" w:hAnsi="Garamond" w:cstheme="minorHAnsi"/>
          <w:color w:val="000000" w:themeColor="text1"/>
          <w:sz w:val="22"/>
          <w:szCs w:val="22"/>
        </w:rPr>
        <w:t xml:space="preserve">group </w:t>
      </w:r>
      <w:r w:rsidRPr="00E617F8">
        <w:rPr>
          <w:rFonts w:ascii="Garamond" w:hAnsi="Garamond" w:cstheme="minorHAnsi"/>
          <w:color w:val="000000" w:themeColor="text1"/>
          <w:sz w:val="22"/>
          <w:szCs w:val="22"/>
        </w:rPr>
        <w:t xml:space="preserve">discussion among the assessment team members. </w:t>
      </w:r>
      <w:r w:rsidR="00260A0C">
        <w:rPr>
          <w:rFonts w:ascii="Garamond" w:hAnsi="Garamond" w:cstheme="minorHAnsi"/>
          <w:color w:val="000000" w:themeColor="text1"/>
          <w:sz w:val="22"/>
          <w:szCs w:val="22"/>
        </w:rPr>
        <w:t xml:space="preserve"> </w:t>
      </w:r>
      <w:r w:rsidR="00D46250">
        <w:rPr>
          <w:rFonts w:ascii="Garamond" w:hAnsi="Garamond" w:cstheme="minorHAnsi"/>
          <w:color w:val="000000" w:themeColor="text1"/>
          <w:sz w:val="22"/>
          <w:szCs w:val="22"/>
        </w:rPr>
        <w:t>A separate table in Word can be a useful tool for recording summary synthesized observations.</w:t>
      </w:r>
      <w:r w:rsidR="00D9669B">
        <w:rPr>
          <w:rFonts w:ascii="Garamond" w:hAnsi="Garamond" w:cstheme="minorHAnsi"/>
          <w:color w:val="000000" w:themeColor="text1"/>
          <w:sz w:val="22"/>
          <w:szCs w:val="22"/>
        </w:rPr>
        <w:t xml:space="preserve"> </w:t>
      </w:r>
      <w:r w:rsidR="00260A0C">
        <w:rPr>
          <w:rFonts w:ascii="Garamond" w:hAnsi="Garamond" w:cstheme="minorHAnsi"/>
          <w:color w:val="000000" w:themeColor="text1"/>
          <w:sz w:val="22"/>
          <w:szCs w:val="22"/>
        </w:rPr>
        <w:t xml:space="preserve"> </w:t>
      </w:r>
      <w:r w:rsidR="00D9669B">
        <w:rPr>
          <w:rFonts w:ascii="Garamond" w:hAnsi="Garamond" w:cstheme="minorHAnsi"/>
          <w:color w:val="000000" w:themeColor="text1"/>
          <w:sz w:val="22"/>
          <w:szCs w:val="22"/>
        </w:rPr>
        <w:t xml:space="preserve">An example of a table used to compile and synthesize assessment observations and results is included in the Assessment Tools, located at </w:t>
      </w:r>
      <w:r w:rsidR="00535EB0" w:rsidRPr="009E515D">
        <w:rPr>
          <w:rFonts w:ascii="Garamond" w:hAnsi="Garamond" w:cstheme="minorHAnsi"/>
          <w:sz w:val="22"/>
          <w:szCs w:val="22"/>
        </w:rPr>
        <w:t>Continuousdistribution.or</w:t>
      </w:r>
      <w:r w:rsidR="00C15AB3">
        <w:rPr>
          <w:rFonts w:ascii="Garamond" w:hAnsi="Garamond" w:cstheme="minorHAnsi"/>
          <w:sz w:val="22"/>
          <w:szCs w:val="22"/>
        </w:rPr>
        <w:t>g</w:t>
      </w:r>
      <w:r w:rsidR="00D9669B" w:rsidRPr="009E515D">
        <w:rPr>
          <w:rFonts w:ascii="Garamond" w:hAnsi="Garamond" w:cstheme="minorHAnsi"/>
          <w:sz w:val="22"/>
          <w:szCs w:val="22"/>
        </w:rPr>
        <w:t xml:space="preserve"> </w:t>
      </w:r>
      <w:r w:rsidR="00D9669B">
        <w:rPr>
          <w:rFonts w:ascii="Garamond" w:hAnsi="Garamond" w:cstheme="minorHAnsi"/>
          <w:color w:val="000000" w:themeColor="text1"/>
          <w:sz w:val="22"/>
          <w:szCs w:val="22"/>
        </w:rPr>
        <w:t>(Tool 10).</w:t>
      </w:r>
    </w:p>
    <w:p w14:paraId="248E0B4D" w14:textId="5251DF1C" w:rsidR="00D46250" w:rsidRPr="009E515D" w:rsidRDefault="0016351D" w:rsidP="00D46250">
      <w:pPr>
        <w:pStyle w:val="Heading3"/>
      </w:pPr>
      <w:bookmarkStart w:id="54" w:name="_Toc43130680"/>
      <w:r>
        <w:t xml:space="preserve">Step </w:t>
      </w:r>
      <w:r w:rsidR="00D46250">
        <w:t>Eight</w:t>
      </w:r>
      <w:r>
        <w:t>: Review Observations and Identify Preliminary Recommendations</w:t>
      </w:r>
      <w:bookmarkEnd w:id="54"/>
    </w:p>
    <w:p w14:paraId="55491ACC" w14:textId="36D24011" w:rsidR="00D46250" w:rsidRDefault="00D46250" w:rsidP="009E515D">
      <w:pPr>
        <w:spacing w:before="120" w:after="120"/>
        <w:jc w:val="both"/>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After the </w:t>
      </w:r>
      <w:r w:rsidRPr="00E617F8">
        <w:rPr>
          <w:rFonts w:ascii="Garamond" w:hAnsi="Garamond" w:cstheme="minorHAnsi"/>
          <w:color w:val="000000" w:themeColor="text1"/>
          <w:sz w:val="22"/>
          <w:szCs w:val="22"/>
        </w:rPr>
        <w:t>KII</w:t>
      </w:r>
      <w:r>
        <w:rPr>
          <w:rFonts w:ascii="Garamond" w:hAnsi="Garamond" w:cstheme="minorHAnsi"/>
          <w:color w:val="000000" w:themeColor="text1"/>
          <w:sz w:val="22"/>
          <w:szCs w:val="22"/>
        </w:rPr>
        <w:t xml:space="preserve"> are completed at all levels, and synthesized observations noted in the Word tables, the assessment team </w:t>
      </w:r>
      <w:r w:rsidR="00D9669B">
        <w:rPr>
          <w:rFonts w:ascii="Garamond" w:hAnsi="Garamond" w:cstheme="minorHAnsi"/>
          <w:color w:val="000000" w:themeColor="text1"/>
          <w:sz w:val="22"/>
          <w:szCs w:val="22"/>
        </w:rPr>
        <w:t xml:space="preserve">then </w:t>
      </w:r>
      <w:r>
        <w:rPr>
          <w:rFonts w:ascii="Garamond" w:hAnsi="Garamond" w:cstheme="minorHAnsi"/>
          <w:color w:val="000000" w:themeColor="text1"/>
          <w:sz w:val="22"/>
          <w:szCs w:val="22"/>
        </w:rPr>
        <w:t>compile</w:t>
      </w:r>
      <w:r w:rsidR="00D9669B">
        <w:rPr>
          <w:rFonts w:ascii="Garamond" w:hAnsi="Garamond" w:cstheme="minorHAnsi"/>
          <w:color w:val="000000" w:themeColor="text1"/>
          <w:sz w:val="22"/>
          <w:szCs w:val="22"/>
        </w:rPr>
        <w:t>s</w:t>
      </w:r>
      <w:r>
        <w:rPr>
          <w:rFonts w:ascii="Garamond" w:hAnsi="Garamond" w:cstheme="minorHAnsi"/>
          <w:color w:val="000000" w:themeColor="text1"/>
          <w:sz w:val="22"/>
          <w:szCs w:val="22"/>
        </w:rPr>
        <w:t xml:space="preserve"> and review</w:t>
      </w:r>
      <w:r w:rsidR="00D9669B">
        <w:rPr>
          <w:rFonts w:ascii="Garamond" w:hAnsi="Garamond" w:cstheme="minorHAnsi"/>
          <w:color w:val="000000" w:themeColor="text1"/>
          <w:sz w:val="22"/>
          <w:szCs w:val="22"/>
        </w:rPr>
        <w:t>s</w:t>
      </w:r>
      <w:r>
        <w:rPr>
          <w:rFonts w:ascii="Garamond" w:hAnsi="Garamond" w:cstheme="minorHAnsi"/>
          <w:color w:val="000000" w:themeColor="text1"/>
          <w:sz w:val="22"/>
          <w:szCs w:val="22"/>
        </w:rPr>
        <w:t xml:space="preserve"> the highlighted observations across all levels of the health system, </w:t>
      </w:r>
      <w:r w:rsidR="00D9669B">
        <w:rPr>
          <w:rFonts w:ascii="Garamond" w:hAnsi="Garamond" w:cstheme="minorHAnsi"/>
          <w:color w:val="000000" w:themeColor="text1"/>
          <w:sz w:val="22"/>
          <w:szCs w:val="22"/>
        </w:rPr>
        <w:t>to</w:t>
      </w:r>
      <w:r>
        <w:rPr>
          <w:rFonts w:ascii="Garamond" w:hAnsi="Garamond" w:cstheme="minorHAnsi"/>
          <w:color w:val="000000" w:themeColor="text1"/>
          <w:sz w:val="22"/>
          <w:szCs w:val="22"/>
        </w:rPr>
        <w:t xml:space="preserve"> identify trends and priorities</w:t>
      </w:r>
      <w:r w:rsidR="00D9669B">
        <w:rPr>
          <w:rFonts w:ascii="Garamond" w:hAnsi="Garamond" w:cstheme="minorHAnsi"/>
          <w:color w:val="000000" w:themeColor="text1"/>
          <w:sz w:val="22"/>
          <w:szCs w:val="22"/>
        </w:rPr>
        <w:t>.</w:t>
      </w:r>
      <w:r w:rsidR="009E515D">
        <w:rPr>
          <w:rFonts w:ascii="Garamond" w:hAnsi="Garamond" w:cstheme="minorHAnsi"/>
          <w:color w:val="000000" w:themeColor="text1"/>
          <w:sz w:val="22"/>
          <w:szCs w:val="22"/>
        </w:rPr>
        <w:t xml:space="preserve"> </w:t>
      </w:r>
      <w:r w:rsidR="00D9669B">
        <w:rPr>
          <w:rFonts w:ascii="Garamond" w:hAnsi="Garamond" w:cstheme="minorHAnsi"/>
          <w:color w:val="000000" w:themeColor="text1"/>
          <w:sz w:val="22"/>
          <w:szCs w:val="22"/>
        </w:rPr>
        <w:t>From this analysis</w:t>
      </w:r>
      <w:r>
        <w:rPr>
          <w:rFonts w:ascii="Garamond" w:hAnsi="Garamond" w:cstheme="minorHAnsi"/>
          <w:color w:val="000000" w:themeColor="text1"/>
          <w:sz w:val="22"/>
          <w:szCs w:val="22"/>
        </w:rPr>
        <w:t>,</w:t>
      </w:r>
      <w:r w:rsidR="00D9669B">
        <w:rPr>
          <w:rFonts w:ascii="Garamond" w:hAnsi="Garamond" w:cstheme="minorHAnsi"/>
          <w:color w:val="000000" w:themeColor="text1"/>
          <w:sz w:val="22"/>
          <w:szCs w:val="22"/>
        </w:rPr>
        <w:t xml:space="preserve"> the assessment team </w:t>
      </w:r>
      <w:r>
        <w:rPr>
          <w:rFonts w:ascii="Garamond" w:hAnsi="Garamond" w:cstheme="minorHAnsi"/>
          <w:color w:val="000000" w:themeColor="text1"/>
          <w:sz w:val="22"/>
          <w:szCs w:val="22"/>
        </w:rPr>
        <w:t>develop</w:t>
      </w:r>
      <w:r w:rsidR="00D9669B">
        <w:rPr>
          <w:rFonts w:ascii="Garamond" w:hAnsi="Garamond" w:cstheme="minorHAnsi"/>
          <w:color w:val="000000" w:themeColor="text1"/>
          <w:sz w:val="22"/>
          <w:szCs w:val="22"/>
        </w:rPr>
        <w:t>s</w:t>
      </w:r>
      <w:r>
        <w:rPr>
          <w:rFonts w:ascii="Garamond" w:hAnsi="Garamond" w:cstheme="minorHAnsi"/>
          <w:color w:val="000000" w:themeColor="text1"/>
          <w:sz w:val="22"/>
          <w:szCs w:val="22"/>
        </w:rPr>
        <w:t xml:space="preserve"> a preliminary set of proposed recommendations to address the identified challenges, leverage successes, and draw</w:t>
      </w:r>
      <w:r w:rsidR="00D9669B">
        <w:rPr>
          <w:rFonts w:ascii="Garamond" w:hAnsi="Garamond" w:cstheme="minorHAnsi"/>
          <w:color w:val="000000" w:themeColor="text1"/>
          <w:sz w:val="22"/>
          <w:szCs w:val="22"/>
        </w:rPr>
        <w:t>s</w:t>
      </w:r>
      <w:r>
        <w:rPr>
          <w:rFonts w:ascii="Garamond" w:hAnsi="Garamond" w:cstheme="minorHAnsi"/>
          <w:color w:val="000000" w:themeColor="text1"/>
          <w:sz w:val="22"/>
          <w:szCs w:val="22"/>
        </w:rPr>
        <w:t xml:space="preserve"> on learning in place. </w:t>
      </w:r>
    </w:p>
    <w:p w14:paraId="1D9F2DD5" w14:textId="3B981BDE" w:rsidR="00D9669B" w:rsidRPr="009E515D" w:rsidRDefault="00D46250" w:rsidP="009E515D">
      <w:pPr>
        <w:spacing w:before="120" w:after="120"/>
        <w:jc w:val="both"/>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The assessment team then summarizes the compiled observations and proposed recommendations in a </w:t>
      </w:r>
      <w:r w:rsidR="00572670">
        <w:rPr>
          <w:rFonts w:ascii="Garamond" w:hAnsi="Garamond" w:cstheme="minorHAnsi"/>
          <w:color w:val="000000" w:themeColor="text1"/>
          <w:sz w:val="22"/>
          <w:szCs w:val="22"/>
        </w:rPr>
        <w:t>PowerPoint</w:t>
      </w:r>
      <w:r>
        <w:rPr>
          <w:rFonts w:ascii="Garamond" w:hAnsi="Garamond" w:cstheme="minorHAnsi"/>
          <w:color w:val="000000" w:themeColor="text1"/>
          <w:sz w:val="22"/>
          <w:szCs w:val="22"/>
        </w:rPr>
        <w:t xml:space="preserve"> format to prepare for presentation to stakeholders. </w:t>
      </w:r>
      <w:r w:rsidR="00D9669B">
        <w:rPr>
          <w:rFonts w:ascii="Garamond" w:hAnsi="Garamond" w:cstheme="minorHAnsi"/>
          <w:color w:val="000000" w:themeColor="text1"/>
          <w:sz w:val="22"/>
          <w:szCs w:val="22"/>
        </w:rPr>
        <w:t xml:space="preserve">(Assessment Tools, Tool 11) </w:t>
      </w:r>
    </w:p>
    <w:p w14:paraId="75B48CA8" w14:textId="6BF41FE5" w:rsidR="00B3573B" w:rsidRDefault="00E617F8" w:rsidP="00E617F8">
      <w:pPr>
        <w:pStyle w:val="Heading3"/>
      </w:pPr>
      <w:bookmarkStart w:id="55" w:name="_Toc43130681"/>
      <w:r>
        <w:t xml:space="preserve">Step </w:t>
      </w:r>
      <w:r w:rsidR="00D46250">
        <w:t>Nine</w:t>
      </w:r>
      <w:r>
        <w:t>: Present Assessment Observations and Preliminary Recommendations to Stakeholders</w:t>
      </w:r>
      <w:bookmarkEnd w:id="55"/>
    </w:p>
    <w:p w14:paraId="21DC6FF4" w14:textId="731F25D8" w:rsidR="00C41775" w:rsidRPr="009E515D" w:rsidRDefault="00C41775" w:rsidP="009E515D">
      <w:pPr>
        <w:pStyle w:val="NoSpacing"/>
        <w:spacing w:before="120" w:after="120"/>
        <w:jc w:val="both"/>
        <w:rPr>
          <w:rFonts w:ascii="Garamond" w:hAnsi="Garamond" w:cs="Calibri"/>
          <w:b/>
          <w:bCs/>
          <w:color w:val="000000"/>
        </w:rPr>
      </w:pPr>
      <w:r w:rsidRPr="00C41775">
        <w:rPr>
          <w:rFonts w:ascii="Garamond" w:hAnsi="Garamond" w:cs="Calibri"/>
          <w:b/>
          <w:bCs/>
          <w:color w:val="000000"/>
        </w:rPr>
        <w:t>STEP 9.1. PRESENT</w:t>
      </w:r>
      <w:r w:rsidRPr="00C41775">
        <w:rPr>
          <w:rFonts w:ascii="Garamond" w:hAnsi="Garamond" w:cs="Times New Roman"/>
          <w:b/>
          <w:bCs/>
          <w:lang w:val="en"/>
        </w:rPr>
        <w:t xml:space="preserve"> </w:t>
      </w:r>
      <w:r>
        <w:rPr>
          <w:rFonts w:ascii="Garamond" w:hAnsi="Garamond" w:cs="Times New Roman"/>
          <w:b/>
          <w:bCs/>
          <w:lang w:val="en"/>
        </w:rPr>
        <w:t>OBSERVATIONS,</w:t>
      </w:r>
      <w:r w:rsidRPr="00C41775">
        <w:rPr>
          <w:rFonts w:ascii="Garamond" w:hAnsi="Garamond" w:cs="Times New Roman"/>
          <w:b/>
          <w:bCs/>
          <w:lang w:val="en"/>
        </w:rPr>
        <w:t xml:space="preserve"> RECOMMENDATIONS TO IN-COUNTRY TEAMS. </w:t>
      </w:r>
    </w:p>
    <w:p w14:paraId="1EF59B83" w14:textId="1EFF35DB" w:rsidR="00D46250" w:rsidRPr="009E515D" w:rsidRDefault="00C41775" w:rsidP="009E515D">
      <w:pPr>
        <w:pStyle w:val="NoSpacing"/>
        <w:spacing w:before="120" w:after="120"/>
        <w:jc w:val="both"/>
        <w:rPr>
          <w:rFonts w:ascii="Garamond" w:hAnsi="Garamond" w:cs="Calibri"/>
          <w:color w:val="000000"/>
        </w:rPr>
      </w:pPr>
      <w:r>
        <w:rPr>
          <w:rFonts w:ascii="Garamond" w:hAnsi="Garamond" w:cs="Times New Roman"/>
          <w:lang w:val="en"/>
        </w:rPr>
        <w:t>As a first step</w:t>
      </w:r>
      <w:r w:rsidR="00D3138F">
        <w:rPr>
          <w:rFonts w:ascii="Garamond" w:hAnsi="Garamond" w:cs="Times New Roman"/>
          <w:lang w:val="en"/>
        </w:rPr>
        <w:t xml:space="preserve"> in reporting to stakeholders</w:t>
      </w:r>
      <w:r>
        <w:rPr>
          <w:rFonts w:ascii="Garamond" w:hAnsi="Garamond" w:cs="Times New Roman"/>
          <w:lang w:val="en"/>
        </w:rPr>
        <w:t>, the assessment team present</w:t>
      </w:r>
      <w:r w:rsidR="00F13136">
        <w:rPr>
          <w:rFonts w:ascii="Garamond" w:hAnsi="Garamond" w:cs="Times New Roman"/>
          <w:lang w:val="en"/>
        </w:rPr>
        <w:t>s</w:t>
      </w:r>
      <w:r>
        <w:rPr>
          <w:rFonts w:ascii="Garamond" w:hAnsi="Garamond" w:cs="Times New Roman"/>
          <w:lang w:val="en"/>
        </w:rPr>
        <w:t xml:space="preserve"> results to the in-country </w:t>
      </w:r>
      <w:r w:rsidR="00D46250">
        <w:rPr>
          <w:rFonts w:ascii="Garamond" w:hAnsi="Garamond" w:cs="Times New Roman"/>
          <w:lang w:val="en"/>
        </w:rPr>
        <w:t>donor team and NMP</w:t>
      </w:r>
      <w:r w:rsidR="00D46250" w:rsidRPr="00D220A2">
        <w:rPr>
          <w:rFonts w:ascii="Garamond" w:hAnsi="Garamond" w:cs="Times New Roman"/>
          <w:lang w:val="en"/>
        </w:rPr>
        <w:t xml:space="preserve"> during </w:t>
      </w:r>
      <w:r w:rsidR="00D46250">
        <w:rPr>
          <w:rFonts w:ascii="Garamond" w:hAnsi="Garamond" w:cs="Times New Roman"/>
          <w:lang w:val="en"/>
        </w:rPr>
        <w:t xml:space="preserve">a joint </w:t>
      </w:r>
      <w:r w:rsidR="00D46250" w:rsidRPr="00D220A2">
        <w:rPr>
          <w:rFonts w:ascii="Garamond" w:hAnsi="Garamond" w:cs="Times New Roman"/>
          <w:lang w:val="en"/>
        </w:rPr>
        <w:t xml:space="preserve">meeting. </w:t>
      </w:r>
    </w:p>
    <w:p w14:paraId="1B24BCC6" w14:textId="0CB0FD1B" w:rsidR="00B3573B" w:rsidRDefault="00C41775" w:rsidP="009E515D">
      <w:pPr>
        <w:pBdr>
          <w:top w:val="nil"/>
          <w:left w:val="nil"/>
          <w:bottom w:val="nil"/>
          <w:right w:val="nil"/>
          <w:between w:val="nil"/>
        </w:pBdr>
        <w:spacing w:before="120" w:after="120"/>
        <w:jc w:val="both"/>
        <w:rPr>
          <w:rFonts w:ascii="Garamond" w:hAnsi="Garamond" w:cs="Calibri"/>
          <w:color w:val="000000"/>
          <w:sz w:val="22"/>
          <w:szCs w:val="22"/>
        </w:rPr>
      </w:pPr>
      <w:r>
        <w:rPr>
          <w:rFonts w:ascii="Garamond" w:hAnsi="Garamond" w:cs="Calibri"/>
          <w:color w:val="000000"/>
          <w:sz w:val="22"/>
          <w:szCs w:val="22"/>
        </w:rPr>
        <w:t xml:space="preserve">Following these meetings, the assessment team finalizes the </w:t>
      </w:r>
      <w:r w:rsidR="00572670">
        <w:rPr>
          <w:rFonts w:ascii="Garamond" w:hAnsi="Garamond" w:cs="Calibri"/>
          <w:color w:val="000000"/>
          <w:sz w:val="22"/>
          <w:szCs w:val="22"/>
        </w:rPr>
        <w:t>PowerPoint</w:t>
      </w:r>
      <w:r>
        <w:rPr>
          <w:rFonts w:ascii="Garamond" w:hAnsi="Garamond" w:cs="Calibri"/>
          <w:color w:val="000000"/>
          <w:sz w:val="22"/>
          <w:szCs w:val="22"/>
        </w:rPr>
        <w:t xml:space="preserve"> presentation of the observations and recommendations</w:t>
      </w:r>
      <w:r w:rsidR="00D821C6">
        <w:rPr>
          <w:rFonts w:ascii="Garamond" w:hAnsi="Garamond" w:cs="Calibri"/>
          <w:color w:val="000000"/>
          <w:sz w:val="22"/>
          <w:szCs w:val="22"/>
        </w:rPr>
        <w:t>,</w:t>
      </w:r>
      <w:r>
        <w:rPr>
          <w:rFonts w:ascii="Garamond" w:hAnsi="Garamond" w:cs="Calibri"/>
          <w:color w:val="000000"/>
          <w:sz w:val="22"/>
          <w:szCs w:val="22"/>
        </w:rPr>
        <w:t xml:space="preserve"> and with the NMP</w:t>
      </w:r>
      <w:r w:rsidR="00D821C6">
        <w:rPr>
          <w:rFonts w:ascii="Garamond" w:hAnsi="Garamond" w:cs="Calibri"/>
          <w:color w:val="000000"/>
          <w:sz w:val="22"/>
          <w:szCs w:val="22"/>
        </w:rPr>
        <w:t>,</w:t>
      </w:r>
      <w:r>
        <w:rPr>
          <w:rFonts w:ascii="Garamond" w:hAnsi="Garamond" w:cs="Calibri"/>
          <w:color w:val="000000"/>
          <w:sz w:val="22"/>
          <w:szCs w:val="22"/>
        </w:rPr>
        <w:t xml:space="preserve"> o</w:t>
      </w:r>
      <w:r w:rsidR="00D46250" w:rsidRPr="00D220A2">
        <w:rPr>
          <w:rFonts w:ascii="Garamond" w:hAnsi="Garamond" w:cs="Calibri"/>
          <w:color w:val="000000"/>
          <w:sz w:val="22"/>
          <w:szCs w:val="22"/>
        </w:rPr>
        <w:t>rganize</w:t>
      </w:r>
      <w:r>
        <w:rPr>
          <w:rFonts w:ascii="Garamond" w:hAnsi="Garamond" w:cs="Calibri"/>
          <w:color w:val="000000"/>
          <w:sz w:val="22"/>
          <w:szCs w:val="22"/>
        </w:rPr>
        <w:t>s</w:t>
      </w:r>
      <w:r w:rsidR="00D46250" w:rsidRPr="00D220A2">
        <w:rPr>
          <w:rFonts w:ascii="Garamond" w:hAnsi="Garamond" w:cs="Calibri"/>
          <w:color w:val="000000"/>
          <w:sz w:val="22"/>
          <w:szCs w:val="22"/>
        </w:rPr>
        <w:t xml:space="preserve"> a dissemination workshop</w:t>
      </w:r>
      <w:r w:rsidR="00D821C6">
        <w:rPr>
          <w:rFonts w:ascii="Garamond" w:hAnsi="Garamond" w:cs="Calibri"/>
          <w:color w:val="000000"/>
          <w:sz w:val="22"/>
          <w:szCs w:val="22"/>
        </w:rPr>
        <w:t>.</w:t>
      </w:r>
      <w:r w:rsidR="00D46250" w:rsidRPr="00D220A2">
        <w:rPr>
          <w:rFonts w:ascii="Garamond" w:hAnsi="Garamond" w:cs="Calibri"/>
          <w:color w:val="000000"/>
          <w:sz w:val="22"/>
          <w:szCs w:val="22"/>
        </w:rPr>
        <w:t xml:space="preserve"> </w:t>
      </w:r>
      <w:r w:rsidR="00260A0C">
        <w:rPr>
          <w:rFonts w:ascii="Garamond" w:hAnsi="Garamond" w:cs="Calibri"/>
          <w:color w:val="000000"/>
          <w:sz w:val="22"/>
          <w:szCs w:val="22"/>
        </w:rPr>
        <w:t xml:space="preserve"> </w:t>
      </w:r>
      <w:r w:rsidR="00D821C6">
        <w:rPr>
          <w:rFonts w:ascii="Garamond" w:hAnsi="Garamond" w:cs="Calibri"/>
          <w:color w:val="000000"/>
          <w:sz w:val="22"/>
          <w:szCs w:val="22"/>
        </w:rPr>
        <w:t>The purpose of the workshop is to support</w:t>
      </w:r>
      <w:r w:rsidR="00D46250" w:rsidRPr="00D220A2">
        <w:rPr>
          <w:rFonts w:ascii="Garamond" w:hAnsi="Garamond" w:cs="Calibri"/>
          <w:color w:val="000000"/>
          <w:sz w:val="22"/>
          <w:szCs w:val="22"/>
        </w:rPr>
        <w:t xml:space="preserve"> the NMP to analyze, compile and present assessment results to </w:t>
      </w:r>
      <w:r w:rsidR="00D46250">
        <w:rPr>
          <w:rFonts w:ascii="Garamond" w:hAnsi="Garamond" w:cs="Calibri"/>
          <w:color w:val="000000"/>
          <w:sz w:val="22"/>
          <w:szCs w:val="22"/>
        </w:rPr>
        <w:t>ITN</w:t>
      </w:r>
      <w:r w:rsidR="00D46250" w:rsidRPr="00D220A2">
        <w:rPr>
          <w:rFonts w:ascii="Garamond" w:hAnsi="Garamond" w:cs="Calibri"/>
          <w:color w:val="000000"/>
          <w:sz w:val="22"/>
          <w:szCs w:val="22"/>
        </w:rPr>
        <w:t xml:space="preserve"> distribution partners</w:t>
      </w:r>
      <w:r w:rsidR="00841EE8">
        <w:rPr>
          <w:rFonts w:ascii="Garamond" w:hAnsi="Garamond" w:cs="Calibri"/>
          <w:color w:val="000000"/>
          <w:sz w:val="22"/>
          <w:szCs w:val="22"/>
        </w:rPr>
        <w:t>.</w:t>
      </w:r>
      <w:r w:rsidR="00260A0C">
        <w:rPr>
          <w:rFonts w:ascii="Garamond" w:hAnsi="Garamond" w:cs="Calibri"/>
          <w:color w:val="000000"/>
          <w:sz w:val="22"/>
          <w:szCs w:val="22"/>
        </w:rPr>
        <w:t xml:space="preserve"> </w:t>
      </w:r>
      <w:r w:rsidR="00841EE8">
        <w:rPr>
          <w:rFonts w:ascii="Garamond" w:hAnsi="Garamond" w:cs="Calibri"/>
          <w:color w:val="000000"/>
          <w:sz w:val="22"/>
          <w:szCs w:val="22"/>
        </w:rPr>
        <w:t xml:space="preserve"> During the workshop, the assessment team</w:t>
      </w:r>
      <w:r w:rsidR="00D46250" w:rsidRPr="00D220A2">
        <w:rPr>
          <w:rFonts w:ascii="Garamond" w:hAnsi="Garamond" w:cs="Calibri"/>
          <w:color w:val="000000"/>
          <w:sz w:val="22"/>
          <w:szCs w:val="22"/>
        </w:rPr>
        <w:t xml:space="preserve"> review</w:t>
      </w:r>
      <w:r w:rsidR="00841EE8">
        <w:rPr>
          <w:rFonts w:ascii="Garamond" w:hAnsi="Garamond" w:cs="Calibri"/>
          <w:color w:val="000000"/>
          <w:sz w:val="22"/>
          <w:szCs w:val="22"/>
        </w:rPr>
        <w:t>s</w:t>
      </w:r>
      <w:r w:rsidR="00D46250" w:rsidRPr="00D220A2">
        <w:rPr>
          <w:rFonts w:ascii="Garamond" w:hAnsi="Garamond" w:cs="Calibri"/>
          <w:color w:val="000000"/>
          <w:sz w:val="22"/>
          <w:szCs w:val="22"/>
        </w:rPr>
        <w:t xml:space="preserve"> and jointly develop</w:t>
      </w:r>
      <w:r w:rsidR="00841EE8">
        <w:rPr>
          <w:rFonts w:ascii="Garamond" w:hAnsi="Garamond" w:cs="Calibri"/>
          <w:color w:val="000000"/>
          <w:sz w:val="22"/>
          <w:szCs w:val="22"/>
        </w:rPr>
        <w:t>s</w:t>
      </w:r>
      <w:r w:rsidR="00D46250" w:rsidRPr="00D220A2">
        <w:rPr>
          <w:rFonts w:ascii="Garamond" w:hAnsi="Garamond" w:cs="Calibri"/>
          <w:color w:val="000000"/>
          <w:sz w:val="22"/>
          <w:szCs w:val="22"/>
        </w:rPr>
        <w:t xml:space="preserve"> recommendations</w:t>
      </w:r>
      <w:r w:rsidR="00841EE8">
        <w:rPr>
          <w:rFonts w:ascii="Garamond" w:hAnsi="Garamond" w:cs="Calibri"/>
          <w:color w:val="000000"/>
          <w:sz w:val="22"/>
          <w:szCs w:val="22"/>
        </w:rPr>
        <w:t xml:space="preserve"> to</w:t>
      </w:r>
      <w:r w:rsidR="00D46250" w:rsidRPr="00D220A2">
        <w:rPr>
          <w:rFonts w:ascii="Garamond" w:hAnsi="Garamond" w:cs="Calibri"/>
          <w:color w:val="000000"/>
          <w:sz w:val="22"/>
          <w:szCs w:val="22"/>
        </w:rPr>
        <w:t xml:space="preserve"> guide the national strategy for continuous </w:t>
      </w:r>
      <w:r w:rsidR="00931C86">
        <w:rPr>
          <w:rFonts w:ascii="Garamond" w:hAnsi="Garamond" w:cs="Calibri"/>
          <w:color w:val="000000"/>
          <w:sz w:val="22"/>
          <w:szCs w:val="22"/>
        </w:rPr>
        <w:t>ITN</w:t>
      </w:r>
      <w:r w:rsidR="00D46250" w:rsidRPr="00D220A2">
        <w:rPr>
          <w:rFonts w:ascii="Garamond" w:hAnsi="Garamond" w:cs="Calibri"/>
          <w:color w:val="000000"/>
          <w:sz w:val="22"/>
          <w:szCs w:val="22"/>
        </w:rPr>
        <w:t xml:space="preserve"> distribution</w:t>
      </w:r>
      <w:r w:rsidR="00841EE8">
        <w:rPr>
          <w:rFonts w:ascii="Garamond" w:hAnsi="Garamond" w:cs="Calibri"/>
          <w:color w:val="000000"/>
          <w:sz w:val="22"/>
          <w:szCs w:val="22"/>
        </w:rPr>
        <w:t>.</w:t>
      </w:r>
      <w:r w:rsidR="00260A0C">
        <w:rPr>
          <w:rFonts w:ascii="Garamond" w:hAnsi="Garamond" w:cs="Calibri"/>
          <w:color w:val="000000"/>
          <w:sz w:val="22"/>
          <w:szCs w:val="22"/>
        </w:rPr>
        <w:t xml:space="preserve"> </w:t>
      </w:r>
      <w:r w:rsidR="00841EE8">
        <w:rPr>
          <w:rFonts w:ascii="Garamond" w:hAnsi="Garamond" w:cs="Calibri"/>
          <w:color w:val="000000"/>
          <w:sz w:val="22"/>
          <w:szCs w:val="22"/>
        </w:rPr>
        <w:t xml:space="preserve"> The assessment team also</w:t>
      </w:r>
      <w:r w:rsidR="00D46250" w:rsidRPr="00D220A2">
        <w:rPr>
          <w:rFonts w:ascii="Garamond" w:hAnsi="Garamond" w:cs="Calibri"/>
          <w:color w:val="000000"/>
          <w:sz w:val="22"/>
          <w:szCs w:val="22"/>
        </w:rPr>
        <w:t xml:space="preserve"> identif</w:t>
      </w:r>
      <w:r w:rsidR="00841EE8">
        <w:rPr>
          <w:rFonts w:ascii="Garamond" w:hAnsi="Garamond" w:cs="Calibri"/>
          <w:color w:val="000000"/>
          <w:sz w:val="22"/>
          <w:szCs w:val="22"/>
        </w:rPr>
        <w:t>ies</w:t>
      </w:r>
      <w:r w:rsidR="00D46250" w:rsidRPr="00D220A2">
        <w:rPr>
          <w:rFonts w:ascii="Garamond" w:hAnsi="Garamond" w:cs="Calibri"/>
          <w:color w:val="000000"/>
          <w:sz w:val="22"/>
          <w:szCs w:val="22"/>
        </w:rPr>
        <w:t xml:space="preserve"> technical assistance needs to reinforce the functioning of existing systems and introduction/piloting of distribution through new continuous channels where appropriate.</w:t>
      </w:r>
    </w:p>
    <w:p w14:paraId="07FC788E" w14:textId="7E2C298C" w:rsidR="00C41775" w:rsidRDefault="00C41775" w:rsidP="009F4638">
      <w:pPr>
        <w:pBdr>
          <w:top w:val="nil"/>
          <w:left w:val="nil"/>
          <w:bottom w:val="nil"/>
          <w:right w:val="nil"/>
          <w:between w:val="nil"/>
        </w:pBdr>
        <w:spacing w:before="120" w:after="120"/>
        <w:rPr>
          <w:rFonts w:ascii="Garamond" w:hAnsi="Garamond" w:cs="Calibri"/>
          <w:b/>
          <w:bCs/>
          <w:color w:val="000000"/>
          <w:sz w:val="22"/>
          <w:szCs w:val="22"/>
        </w:rPr>
      </w:pPr>
      <w:r w:rsidRPr="005F4A65">
        <w:rPr>
          <w:rFonts w:ascii="Garamond" w:hAnsi="Garamond" w:cs="Calibri"/>
          <w:b/>
          <w:bCs/>
          <w:color w:val="000000"/>
          <w:sz w:val="22"/>
          <w:szCs w:val="22"/>
        </w:rPr>
        <w:t>STEP</w:t>
      </w:r>
      <w:r w:rsidR="005F4A65" w:rsidRPr="005F4A65">
        <w:rPr>
          <w:rFonts w:ascii="Garamond" w:hAnsi="Garamond" w:cs="Calibri"/>
          <w:b/>
          <w:bCs/>
          <w:color w:val="000000"/>
          <w:sz w:val="22"/>
          <w:szCs w:val="22"/>
        </w:rPr>
        <w:t xml:space="preserve"> 9.</w:t>
      </w:r>
      <w:r>
        <w:rPr>
          <w:rFonts w:ascii="Garamond" w:hAnsi="Garamond" w:cs="Calibri"/>
          <w:b/>
          <w:bCs/>
          <w:color w:val="000000"/>
          <w:sz w:val="22"/>
          <w:szCs w:val="22"/>
        </w:rPr>
        <w:t>2</w:t>
      </w:r>
      <w:r w:rsidR="00F13136">
        <w:rPr>
          <w:rFonts w:ascii="Garamond" w:hAnsi="Garamond" w:cs="Calibri"/>
          <w:b/>
          <w:bCs/>
          <w:color w:val="000000"/>
          <w:sz w:val="22"/>
          <w:szCs w:val="22"/>
        </w:rPr>
        <w:t xml:space="preserve"> </w:t>
      </w:r>
      <w:r>
        <w:rPr>
          <w:rFonts w:ascii="Garamond" w:hAnsi="Garamond" w:cs="Calibri"/>
          <w:b/>
          <w:bCs/>
          <w:color w:val="000000"/>
          <w:sz w:val="22"/>
          <w:szCs w:val="22"/>
        </w:rPr>
        <w:t>PRESENT TRENDS ACROSS ASSESSMENTS TO GLOBAL PARTNERS</w:t>
      </w:r>
    </w:p>
    <w:p w14:paraId="4D086B37" w14:textId="51E7C2F3" w:rsidR="001E6676" w:rsidRDefault="005F4A65" w:rsidP="009F4638">
      <w:pPr>
        <w:pBdr>
          <w:top w:val="nil"/>
          <w:left w:val="nil"/>
          <w:bottom w:val="nil"/>
          <w:right w:val="nil"/>
          <w:between w:val="nil"/>
        </w:pBdr>
        <w:spacing w:before="120" w:after="120"/>
        <w:jc w:val="both"/>
        <w:rPr>
          <w:rFonts w:ascii="Garamond" w:hAnsi="Garamond" w:cs="Calibri"/>
          <w:color w:val="000000"/>
          <w:sz w:val="22"/>
          <w:szCs w:val="22"/>
        </w:rPr>
      </w:pPr>
      <w:r>
        <w:rPr>
          <w:rFonts w:ascii="Garamond" w:hAnsi="Garamond" w:cs="Calibri"/>
          <w:color w:val="000000"/>
          <w:sz w:val="22"/>
          <w:szCs w:val="22"/>
        </w:rPr>
        <w:t>After incorporating the inputs from the NMP and malaria stakeholders, it is possible to analyze trends across countries</w:t>
      </w:r>
      <w:r w:rsidR="00A11D5C">
        <w:rPr>
          <w:rFonts w:ascii="Garamond" w:hAnsi="Garamond" w:cs="Calibri"/>
          <w:color w:val="000000"/>
          <w:sz w:val="22"/>
          <w:szCs w:val="22"/>
        </w:rPr>
        <w:t xml:space="preserve"> and share findings with global ITN distribution colleagues. </w:t>
      </w:r>
      <w:r w:rsidR="00260A0C">
        <w:rPr>
          <w:rFonts w:ascii="Garamond" w:hAnsi="Garamond" w:cs="Calibri"/>
          <w:color w:val="000000"/>
          <w:sz w:val="22"/>
          <w:szCs w:val="22"/>
        </w:rPr>
        <w:t xml:space="preserve"> </w:t>
      </w:r>
      <w:r w:rsidR="0045441B">
        <w:rPr>
          <w:rFonts w:ascii="Garamond" w:hAnsi="Garamond" w:cs="Calibri"/>
          <w:color w:val="000000"/>
          <w:sz w:val="22"/>
          <w:szCs w:val="22"/>
        </w:rPr>
        <w:t xml:space="preserve">The </w:t>
      </w:r>
      <w:r w:rsidR="00572670">
        <w:rPr>
          <w:rFonts w:ascii="Garamond" w:hAnsi="Garamond" w:cs="Calibri"/>
          <w:color w:val="000000"/>
          <w:sz w:val="22"/>
          <w:szCs w:val="22"/>
        </w:rPr>
        <w:t>PowerPoint</w:t>
      </w:r>
      <w:r w:rsidR="0045441B">
        <w:rPr>
          <w:rFonts w:ascii="Garamond" w:hAnsi="Garamond" w:cs="Calibri"/>
          <w:color w:val="000000"/>
          <w:sz w:val="22"/>
          <w:szCs w:val="22"/>
        </w:rPr>
        <w:t xml:space="preserve"> presentations developed for two global webinars to present results of this assessment approach in three countries are included in the Assessment Tools</w:t>
      </w:r>
      <w:r w:rsidR="00D3138F">
        <w:rPr>
          <w:rFonts w:ascii="Garamond" w:hAnsi="Garamond" w:cs="Calibri"/>
          <w:color w:val="000000"/>
          <w:sz w:val="22"/>
          <w:szCs w:val="22"/>
        </w:rPr>
        <w:t xml:space="preserve"> (Tool 12).</w:t>
      </w:r>
    </w:p>
    <w:p w14:paraId="4D9A8AB7" w14:textId="731DD81F" w:rsidR="00B3573B" w:rsidRPr="009F4638" w:rsidRDefault="001E6676" w:rsidP="009F4638">
      <w:pPr>
        <w:pBdr>
          <w:top w:val="nil"/>
          <w:left w:val="nil"/>
          <w:bottom w:val="nil"/>
          <w:right w:val="nil"/>
          <w:between w:val="nil"/>
        </w:pBdr>
        <w:spacing w:before="120" w:after="120"/>
        <w:jc w:val="both"/>
        <w:rPr>
          <w:rFonts w:ascii="Garamond" w:hAnsi="Garamond" w:cs="Calibri"/>
          <w:color w:val="000000"/>
          <w:sz w:val="22"/>
          <w:szCs w:val="22"/>
        </w:rPr>
      </w:pPr>
      <w:r w:rsidRPr="009E515D">
        <w:rPr>
          <w:rFonts w:ascii="Garamond" w:hAnsi="Garamond" w:cs="Calibri"/>
          <w:color w:val="000000"/>
          <w:sz w:val="22"/>
          <w:szCs w:val="22"/>
        </w:rPr>
        <w:lastRenderedPageBreak/>
        <w:t xml:space="preserve">Using this assessment approach, the PMI VectorLink team developed a comprehensive analysis across three countries (Burkina Faso, Cameroon, and Niger) and presented these at two webinars, in French and </w:t>
      </w:r>
      <w:hyperlink r:id="rId23" w:history="1">
        <w:r w:rsidRPr="009F4638">
          <w:rPr>
            <w:rStyle w:val="Hyperlink"/>
            <w:rFonts w:ascii="Garamond" w:hAnsi="Garamond" w:cs="Calibri"/>
            <w:sz w:val="22"/>
            <w:szCs w:val="22"/>
          </w:rPr>
          <w:t>English</w:t>
        </w:r>
      </w:hyperlink>
      <w:r w:rsidRPr="009E515D">
        <w:rPr>
          <w:rFonts w:ascii="Garamond" w:hAnsi="Garamond" w:cs="Calibri"/>
          <w:color w:val="000000"/>
          <w:sz w:val="22"/>
          <w:szCs w:val="22"/>
        </w:rPr>
        <w:t xml:space="preserve"> in </w:t>
      </w:r>
      <w:r w:rsidR="00572670" w:rsidRPr="009E515D">
        <w:rPr>
          <w:rFonts w:ascii="Garamond" w:hAnsi="Garamond" w:cs="Calibri"/>
          <w:color w:val="000000"/>
          <w:sz w:val="22"/>
          <w:szCs w:val="22"/>
        </w:rPr>
        <w:t>mid-2019</w:t>
      </w:r>
      <w:r w:rsidRPr="009E515D">
        <w:rPr>
          <w:rFonts w:ascii="Garamond" w:hAnsi="Garamond" w:cs="Calibri"/>
          <w:color w:val="000000"/>
          <w:sz w:val="22"/>
          <w:szCs w:val="22"/>
        </w:rPr>
        <w:t>.</w:t>
      </w:r>
    </w:p>
    <w:p w14:paraId="301BAE9D" w14:textId="1FBC1759" w:rsidR="00E617F8" w:rsidRPr="009F4638" w:rsidRDefault="0016351D" w:rsidP="00E617F8">
      <w:pPr>
        <w:pStyle w:val="Heading3"/>
      </w:pPr>
      <w:bookmarkStart w:id="56" w:name="_Toc43130682"/>
      <w:r>
        <w:t xml:space="preserve">Step </w:t>
      </w:r>
      <w:r w:rsidR="00CB179A">
        <w:t>Ten</w:t>
      </w:r>
      <w:r>
        <w:t xml:space="preserve">: </w:t>
      </w:r>
      <w:r w:rsidR="00990EA6">
        <w:t>Reporting on and Implementing Assessment recommendations</w:t>
      </w:r>
      <w:bookmarkEnd w:id="56"/>
      <w:r w:rsidR="00990EA6">
        <w:t xml:space="preserve"> </w:t>
      </w:r>
    </w:p>
    <w:p w14:paraId="0E1D6F52" w14:textId="7E56C046" w:rsidR="00C41775" w:rsidRPr="009F4638" w:rsidRDefault="00C41775" w:rsidP="009F4638">
      <w:pPr>
        <w:spacing w:before="120" w:after="120"/>
        <w:jc w:val="both"/>
        <w:rPr>
          <w:rFonts w:ascii="Garamond" w:hAnsi="Garamond"/>
          <w:sz w:val="22"/>
          <w:szCs w:val="22"/>
        </w:rPr>
      </w:pPr>
      <w:r w:rsidRPr="009F4638">
        <w:rPr>
          <w:rFonts w:ascii="Garamond" w:hAnsi="Garamond"/>
          <w:b/>
          <w:bCs/>
          <w:sz w:val="22"/>
          <w:szCs w:val="22"/>
        </w:rPr>
        <w:t>STEP</w:t>
      </w:r>
      <w:r w:rsidR="00990EA6" w:rsidRPr="009F4638">
        <w:rPr>
          <w:rFonts w:ascii="Garamond" w:hAnsi="Garamond"/>
          <w:b/>
          <w:bCs/>
          <w:sz w:val="22"/>
          <w:szCs w:val="22"/>
        </w:rPr>
        <w:t xml:space="preserve"> 1</w:t>
      </w:r>
      <w:r w:rsidR="00CB179A" w:rsidRPr="009F4638">
        <w:rPr>
          <w:rFonts w:ascii="Garamond" w:hAnsi="Garamond"/>
          <w:b/>
          <w:bCs/>
          <w:sz w:val="22"/>
          <w:szCs w:val="22"/>
        </w:rPr>
        <w:t>0</w:t>
      </w:r>
      <w:r w:rsidR="00990EA6" w:rsidRPr="009F4638">
        <w:rPr>
          <w:rFonts w:ascii="Garamond" w:hAnsi="Garamond"/>
          <w:b/>
          <w:bCs/>
          <w:sz w:val="22"/>
          <w:szCs w:val="22"/>
        </w:rPr>
        <w:t>.1</w:t>
      </w:r>
      <w:r w:rsidR="00990EA6" w:rsidRPr="009F4638">
        <w:rPr>
          <w:rFonts w:ascii="Garamond" w:hAnsi="Garamond"/>
          <w:sz w:val="22"/>
          <w:szCs w:val="22"/>
        </w:rPr>
        <w:t xml:space="preserve"> </w:t>
      </w:r>
      <w:r w:rsidRPr="009F4638">
        <w:rPr>
          <w:rFonts w:ascii="Garamond" w:hAnsi="Garamond"/>
          <w:b/>
          <w:bCs/>
          <w:sz w:val="22"/>
          <w:szCs w:val="22"/>
        </w:rPr>
        <w:t>DEVELOP ASSESSMENT REPORT</w:t>
      </w:r>
    </w:p>
    <w:p w14:paraId="58D92BAB" w14:textId="7C071409" w:rsidR="00C50102" w:rsidRPr="009F4638" w:rsidRDefault="00A11D5C" w:rsidP="009F4638">
      <w:pPr>
        <w:spacing w:before="120" w:after="120"/>
        <w:jc w:val="both"/>
        <w:rPr>
          <w:rFonts w:ascii="Garamond" w:hAnsi="Garamond"/>
          <w:sz w:val="22"/>
          <w:szCs w:val="22"/>
        </w:rPr>
      </w:pPr>
      <w:r w:rsidRPr="009F4638">
        <w:rPr>
          <w:rFonts w:ascii="Garamond" w:hAnsi="Garamond"/>
          <w:sz w:val="22"/>
          <w:szCs w:val="22"/>
        </w:rPr>
        <w:t xml:space="preserve">Following oral presentations, </w:t>
      </w:r>
      <w:r w:rsidR="0045441B" w:rsidRPr="009F4638">
        <w:rPr>
          <w:rFonts w:ascii="Garamond" w:hAnsi="Garamond"/>
          <w:sz w:val="22"/>
          <w:szCs w:val="22"/>
        </w:rPr>
        <w:t>the assessment team</w:t>
      </w:r>
      <w:r w:rsidRPr="009F4638">
        <w:rPr>
          <w:rFonts w:ascii="Garamond" w:hAnsi="Garamond"/>
          <w:sz w:val="22"/>
          <w:szCs w:val="22"/>
        </w:rPr>
        <w:t xml:space="preserve"> capture</w:t>
      </w:r>
      <w:r w:rsidR="0045441B" w:rsidRPr="009F4638">
        <w:rPr>
          <w:rFonts w:ascii="Garamond" w:hAnsi="Garamond"/>
          <w:sz w:val="22"/>
          <w:szCs w:val="22"/>
        </w:rPr>
        <w:t>s</w:t>
      </w:r>
      <w:r w:rsidRPr="009F4638">
        <w:rPr>
          <w:rFonts w:ascii="Garamond" w:hAnsi="Garamond"/>
          <w:sz w:val="22"/>
          <w:szCs w:val="22"/>
        </w:rPr>
        <w:t xml:space="preserve"> </w:t>
      </w:r>
      <w:r w:rsidR="00E720A9" w:rsidRPr="009F4638">
        <w:rPr>
          <w:rFonts w:ascii="Garamond" w:hAnsi="Garamond"/>
          <w:sz w:val="22"/>
          <w:szCs w:val="22"/>
        </w:rPr>
        <w:t xml:space="preserve">the operational components, key </w:t>
      </w:r>
      <w:proofErr w:type="gramStart"/>
      <w:r w:rsidR="00E720A9" w:rsidRPr="009F4638">
        <w:rPr>
          <w:rFonts w:ascii="Garamond" w:hAnsi="Garamond"/>
          <w:sz w:val="22"/>
          <w:szCs w:val="22"/>
        </w:rPr>
        <w:t>observations</w:t>
      </w:r>
      <w:proofErr w:type="gramEnd"/>
      <w:r w:rsidR="00E720A9" w:rsidRPr="009F4638">
        <w:rPr>
          <w:rFonts w:ascii="Garamond" w:hAnsi="Garamond"/>
          <w:sz w:val="22"/>
          <w:szCs w:val="22"/>
        </w:rPr>
        <w:t xml:space="preserve"> and priority recommendations from the assessment</w:t>
      </w:r>
      <w:r w:rsidR="0045441B" w:rsidRPr="009F4638">
        <w:rPr>
          <w:rFonts w:ascii="Garamond" w:hAnsi="Garamond"/>
          <w:sz w:val="22"/>
          <w:szCs w:val="22"/>
        </w:rPr>
        <w:t xml:space="preserve"> in an overall assessment report</w:t>
      </w:r>
      <w:r w:rsidR="00E720A9" w:rsidRPr="009F4638">
        <w:rPr>
          <w:rFonts w:ascii="Garamond" w:hAnsi="Garamond"/>
          <w:sz w:val="22"/>
          <w:szCs w:val="22"/>
        </w:rPr>
        <w:t xml:space="preserve">. </w:t>
      </w:r>
      <w:r w:rsidR="00260A0C" w:rsidRPr="009F4638">
        <w:rPr>
          <w:rFonts w:ascii="Garamond" w:hAnsi="Garamond"/>
          <w:sz w:val="22"/>
          <w:szCs w:val="22"/>
        </w:rPr>
        <w:t xml:space="preserve"> </w:t>
      </w:r>
      <w:proofErr w:type="gramStart"/>
      <w:r w:rsidR="00E338B3">
        <w:rPr>
          <w:rFonts w:ascii="Garamond" w:hAnsi="Garamond"/>
          <w:sz w:val="22"/>
          <w:szCs w:val="22"/>
        </w:rPr>
        <w:t xml:space="preserve">An </w:t>
      </w:r>
      <w:r w:rsidR="00C41775" w:rsidRPr="009F4638">
        <w:rPr>
          <w:rFonts w:ascii="Garamond" w:hAnsi="Garamond"/>
          <w:sz w:val="22"/>
          <w:szCs w:val="22"/>
        </w:rPr>
        <w:t xml:space="preserve"> example</w:t>
      </w:r>
      <w:proofErr w:type="gramEnd"/>
      <w:r w:rsidR="00C41775" w:rsidRPr="009F4638">
        <w:rPr>
          <w:rFonts w:ascii="Garamond" w:hAnsi="Garamond"/>
          <w:sz w:val="22"/>
          <w:szCs w:val="22"/>
        </w:rPr>
        <w:t xml:space="preserve"> assessment report </w:t>
      </w:r>
      <w:r w:rsidR="00E338B3">
        <w:rPr>
          <w:rFonts w:ascii="Garamond" w:hAnsi="Garamond"/>
          <w:sz w:val="22"/>
          <w:szCs w:val="22"/>
        </w:rPr>
        <w:t xml:space="preserve">outline is shown </w:t>
      </w:r>
      <w:r w:rsidR="00C41775" w:rsidRPr="009F4638">
        <w:rPr>
          <w:rFonts w:ascii="Garamond" w:hAnsi="Garamond"/>
          <w:sz w:val="22"/>
          <w:szCs w:val="22"/>
        </w:rPr>
        <w:t>in the tools folder</w:t>
      </w:r>
      <w:r w:rsidR="00056B62" w:rsidRPr="009F4638">
        <w:rPr>
          <w:rFonts w:ascii="Garamond" w:hAnsi="Garamond"/>
          <w:sz w:val="22"/>
          <w:szCs w:val="22"/>
        </w:rPr>
        <w:t xml:space="preserve"> (Assessment Tools, Tool 13)</w:t>
      </w:r>
      <w:r w:rsidR="00E338B3">
        <w:rPr>
          <w:rFonts w:ascii="Garamond" w:hAnsi="Garamond"/>
          <w:sz w:val="22"/>
          <w:szCs w:val="22"/>
        </w:rPr>
        <w:t>. This</w:t>
      </w:r>
      <w:r w:rsidR="005E48E2" w:rsidRPr="009F4638">
        <w:rPr>
          <w:rFonts w:ascii="Garamond" w:hAnsi="Garamond"/>
          <w:sz w:val="22"/>
          <w:szCs w:val="22"/>
        </w:rPr>
        <w:t xml:space="preserve"> </w:t>
      </w:r>
      <w:r w:rsidR="00E720A9" w:rsidRPr="009F4638">
        <w:rPr>
          <w:rFonts w:ascii="Garamond" w:hAnsi="Garamond"/>
          <w:sz w:val="22"/>
          <w:szCs w:val="22"/>
        </w:rPr>
        <w:t xml:space="preserve">includes an </w:t>
      </w:r>
      <w:r w:rsidR="005E48E2" w:rsidRPr="009F4638">
        <w:rPr>
          <w:rFonts w:ascii="Garamond" w:hAnsi="Garamond"/>
          <w:sz w:val="22"/>
          <w:szCs w:val="22"/>
        </w:rPr>
        <w:t>e</w:t>
      </w:r>
      <w:r w:rsidR="00E720A9" w:rsidRPr="009F4638">
        <w:rPr>
          <w:rFonts w:ascii="Garamond" w:hAnsi="Garamond"/>
          <w:sz w:val="22"/>
          <w:szCs w:val="22"/>
        </w:rPr>
        <w:t>xecutive summary, presentation of assessment methods, key observations, recommendations</w:t>
      </w:r>
      <w:r w:rsidR="005E48E2" w:rsidRPr="009F4638">
        <w:rPr>
          <w:rFonts w:ascii="Garamond" w:hAnsi="Garamond"/>
          <w:sz w:val="22"/>
          <w:szCs w:val="22"/>
        </w:rPr>
        <w:t>,</w:t>
      </w:r>
      <w:r w:rsidR="00E720A9" w:rsidRPr="009F4638">
        <w:rPr>
          <w:rFonts w:ascii="Garamond" w:hAnsi="Garamond"/>
          <w:sz w:val="22"/>
          <w:szCs w:val="22"/>
        </w:rPr>
        <w:t xml:space="preserve"> and conclusions. </w:t>
      </w:r>
    </w:p>
    <w:p w14:paraId="4FEA9C9B" w14:textId="032277BF" w:rsidR="00CB179A" w:rsidRPr="009F4638" w:rsidRDefault="00C41775" w:rsidP="009F4638">
      <w:pPr>
        <w:spacing w:before="120" w:after="120"/>
        <w:jc w:val="both"/>
        <w:rPr>
          <w:rFonts w:ascii="Garamond" w:hAnsi="Garamond"/>
          <w:b/>
          <w:bCs/>
          <w:sz w:val="22"/>
          <w:szCs w:val="22"/>
        </w:rPr>
      </w:pPr>
      <w:r w:rsidRPr="009F4638">
        <w:rPr>
          <w:rFonts w:ascii="Garamond" w:hAnsi="Garamond"/>
          <w:b/>
          <w:bCs/>
          <w:sz w:val="22"/>
          <w:szCs w:val="22"/>
        </w:rPr>
        <w:t xml:space="preserve">STEP 10.2 UPDATE OR DEVELOP NATIONAL ITN GUIDANCE </w:t>
      </w:r>
    </w:p>
    <w:p w14:paraId="52FBACEB" w14:textId="6E3ED643" w:rsidR="00C50102" w:rsidRPr="009F4638" w:rsidRDefault="00056B62" w:rsidP="009F4638">
      <w:pPr>
        <w:spacing w:before="120" w:after="120"/>
        <w:jc w:val="both"/>
        <w:rPr>
          <w:rFonts w:ascii="Garamond" w:hAnsi="Garamond" w:cs="Calibri"/>
          <w:color w:val="000000"/>
          <w:sz w:val="22"/>
          <w:szCs w:val="22"/>
        </w:rPr>
      </w:pPr>
      <w:r w:rsidRPr="009F4638">
        <w:rPr>
          <w:rFonts w:ascii="Garamond" w:hAnsi="Garamond" w:cs="Calibri"/>
          <w:color w:val="000000"/>
          <w:sz w:val="22"/>
          <w:szCs w:val="22"/>
        </w:rPr>
        <w:t>F</w:t>
      </w:r>
      <w:r w:rsidR="00CB179A" w:rsidRPr="009F4638">
        <w:rPr>
          <w:rFonts w:ascii="Garamond" w:hAnsi="Garamond" w:cs="Calibri"/>
          <w:color w:val="000000"/>
          <w:sz w:val="22"/>
          <w:szCs w:val="22"/>
        </w:rPr>
        <w:t>ollowing the reporting process</w:t>
      </w:r>
      <w:r w:rsidRPr="009F4638">
        <w:rPr>
          <w:rFonts w:ascii="Garamond" w:hAnsi="Garamond" w:cs="Calibri"/>
          <w:color w:val="000000"/>
          <w:sz w:val="22"/>
          <w:szCs w:val="22"/>
        </w:rPr>
        <w:t>,</w:t>
      </w:r>
      <w:r w:rsidR="00CB179A" w:rsidRPr="009F4638">
        <w:rPr>
          <w:rFonts w:ascii="Garamond" w:hAnsi="Garamond" w:cs="Calibri"/>
          <w:color w:val="000000"/>
          <w:sz w:val="22"/>
          <w:szCs w:val="22"/>
        </w:rPr>
        <w:t xml:space="preserve"> </w:t>
      </w:r>
      <w:r w:rsidRPr="009F4638">
        <w:rPr>
          <w:rFonts w:ascii="Garamond" w:hAnsi="Garamond" w:cs="Calibri"/>
          <w:color w:val="000000"/>
          <w:sz w:val="22"/>
          <w:szCs w:val="22"/>
        </w:rPr>
        <w:t xml:space="preserve">NMPs may decide to </w:t>
      </w:r>
      <w:r w:rsidR="00CB179A" w:rsidRPr="009F4638">
        <w:rPr>
          <w:rFonts w:ascii="Garamond" w:hAnsi="Garamond" w:cs="Calibri"/>
          <w:color w:val="000000"/>
          <w:sz w:val="22"/>
          <w:szCs w:val="22"/>
        </w:rPr>
        <w:t>develop or update national ITN distribution guidance</w:t>
      </w:r>
      <w:r w:rsidRPr="009F4638">
        <w:rPr>
          <w:rFonts w:ascii="Garamond" w:hAnsi="Garamond" w:cs="Calibri"/>
          <w:color w:val="000000"/>
          <w:sz w:val="22"/>
          <w:szCs w:val="22"/>
        </w:rPr>
        <w:t xml:space="preserve"> and to include information, policy updates, and other actions to respond to assessment key findings</w:t>
      </w:r>
      <w:r w:rsidR="00CB179A" w:rsidRPr="009F4638">
        <w:rPr>
          <w:rFonts w:ascii="Garamond" w:hAnsi="Garamond" w:cs="Calibri"/>
          <w:color w:val="000000"/>
          <w:sz w:val="22"/>
          <w:szCs w:val="22"/>
        </w:rPr>
        <w:t>.</w:t>
      </w:r>
      <w:r w:rsidR="00260A0C" w:rsidRPr="009F4638">
        <w:rPr>
          <w:rFonts w:ascii="Garamond" w:hAnsi="Garamond" w:cs="Calibri"/>
          <w:color w:val="000000"/>
          <w:sz w:val="22"/>
          <w:szCs w:val="22"/>
        </w:rPr>
        <w:t xml:space="preserve"> </w:t>
      </w:r>
      <w:r w:rsidR="00CB179A" w:rsidRPr="009F4638">
        <w:rPr>
          <w:rFonts w:ascii="Garamond" w:hAnsi="Garamond" w:cs="Calibri"/>
          <w:color w:val="000000"/>
          <w:sz w:val="22"/>
          <w:szCs w:val="22"/>
        </w:rPr>
        <w:t xml:space="preserve"> Through this process, national MOH and health stakeholders are informed of the key priorities and brought </w:t>
      </w:r>
      <w:proofErr w:type="gramStart"/>
      <w:r w:rsidR="00CB179A" w:rsidRPr="009F4638">
        <w:rPr>
          <w:rFonts w:ascii="Garamond" w:hAnsi="Garamond" w:cs="Calibri"/>
          <w:color w:val="000000"/>
          <w:sz w:val="22"/>
          <w:szCs w:val="22"/>
        </w:rPr>
        <w:t>in to</w:t>
      </w:r>
      <w:proofErr w:type="gramEnd"/>
      <w:r w:rsidR="00CB179A" w:rsidRPr="009F4638">
        <w:rPr>
          <w:rFonts w:ascii="Garamond" w:hAnsi="Garamond" w:cs="Calibri"/>
          <w:color w:val="000000"/>
          <w:sz w:val="22"/>
          <w:szCs w:val="22"/>
        </w:rPr>
        <w:t xml:space="preserve"> a consultative process to move forward with planning, design guidance, and develop an actionable implementation plan of priority interventions to improve continuous distribution.</w:t>
      </w:r>
    </w:p>
    <w:p w14:paraId="1126A8BE" w14:textId="191BAADF" w:rsidR="00C92BA4" w:rsidRPr="00C92BA4" w:rsidRDefault="00C92BA4" w:rsidP="00C92BA4">
      <w:pPr>
        <w:pStyle w:val="Heading3"/>
        <w:rPr>
          <w:sz w:val="24"/>
          <w:szCs w:val="24"/>
        </w:rPr>
      </w:pPr>
      <w:bookmarkStart w:id="57" w:name="_Toc43130683"/>
      <w:r w:rsidRPr="00C92BA4">
        <w:rPr>
          <w:sz w:val="24"/>
          <w:szCs w:val="24"/>
        </w:rPr>
        <w:t>Assessment Reporting Tools</w:t>
      </w:r>
      <w:bookmarkEnd w:id="57"/>
    </w:p>
    <w:p w14:paraId="132448F5" w14:textId="36460A84" w:rsidR="00C92BA4" w:rsidRDefault="00C92BA4" w:rsidP="00C92BA4">
      <w:pPr>
        <w:pBdr>
          <w:top w:val="nil"/>
          <w:left w:val="nil"/>
          <w:bottom w:val="nil"/>
          <w:right w:val="nil"/>
          <w:between w:val="nil"/>
        </w:pBdr>
        <w:jc w:val="both"/>
        <w:rPr>
          <w:rFonts w:ascii="Garamond" w:hAnsi="Garamond" w:cs="Calibri"/>
          <w:color w:val="000000"/>
          <w:sz w:val="22"/>
          <w:szCs w:val="22"/>
        </w:rPr>
      </w:pPr>
    </w:p>
    <w:tbl>
      <w:tblPr>
        <w:tblStyle w:val="TableGrid"/>
        <w:tblW w:w="0" w:type="auto"/>
        <w:tblLook w:val="04A0" w:firstRow="1" w:lastRow="0" w:firstColumn="1" w:lastColumn="0" w:noHBand="0" w:noVBand="1"/>
      </w:tblPr>
      <w:tblGrid>
        <w:gridCol w:w="775"/>
        <w:gridCol w:w="8575"/>
      </w:tblGrid>
      <w:tr w:rsidR="00316D0A" w:rsidRPr="00C00FAC" w14:paraId="5E1B85FA" w14:textId="77777777" w:rsidTr="00A93BA5">
        <w:tc>
          <w:tcPr>
            <w:tcW w:w="0" w:type="auto"/>
            <w:shd w:val="clear" w:color="auto" w:fill="DBE5F1" w:themeFill="accent1" w:themeFillTint="33"/>
          </w:tcPr>
          <w:p w14:paraId="3752EED6" w14:textId="77777777" w:rsidR="00316D0A" w:rsidRPr="00C00FAC" w:rsidRDefault="00316D0A" w:rsidP="00A93BA5">
            <w:pPr>
              <w:pStyle w:val="Heading5"/>
              <w:shd w:val="clear" w:color="auto" w:fill="auto"/>
              <w:spacing w:before="0" w:after="0"/>
              <w:ind w:left="0"/>
            </w:pPr>
            <w:bookmarkStart w:id="58" w:name="_Toc90370391"/>
            <w:bookmarkStart w:id="59" w:name="_Toc90393860"/>
            <w:bookmarkStart w:id="60" w:name="_Toc90370385"/>
            <w:bookmarkStart w:id="61" w:name="_Toc90393854"/>
            <w:bookmarkEnd w:id="24"/>
            <w:bookmarkEnd w:id="35"/>
            <w:r w:rsidRPr="00C00FAC">
              <w:t>Tool</w:t>
            </w:r>
          </w:p>
        </w:tc>
        <w:tc>
          <w:tcPr>
            <w:tcW w:w="0" w:type="auto"/>
            <w:shd w:val="clear" w:color="auto" w:fill="DBE5F1" w:themeFill="accent1" w:themeFillTint="33"/>
          </w:tcPr>
          <w:p w14:paraId="03A14D34" w14:textId="77777777" w:rsidR="00316D0A" w:rsidRPr="00C00FAC" w:rsidRDefault="00316D0A" w:rsidP="00A93BA5">
            <w:pPr>
              <w:pStyle w:val="Heading5"/>
              <w:shd w:val="clear" w:color="auto" w:fill="auto"/>
              <w:spacing w:before="0" w:after="0"/>
              <w:ind w:left="0"/>
            </w:pPr>
            <w:r w:rsidRPr="00C00FAC">
              <w:t>Name</w:t>
            </w:r>
          </w:p>
        </w:tc>
      </w:tr>
      <w:tr w:rsidR="00316D0A" w:rsidRPr="00402FA4" w14:paraId="1562234D" w14:textId="77777777" w:rsidTr="00E3773F">
        <w:tc>
          <w:tcPr>
            <w:tcW w:w="0" w:type="auto"/>
            <w:shd w:val="clear" w:color="auto" w:fill="auto"/>
            <w:vAlign w:val="center"/>
          </w:tcPr>
          <w:p w14:paraId="04E41127" w14:textId="77777777" w:rsidR="00316D0A" w:rsidRDefault="00316D0A" w:rsidP="00A93BA5">
            <w:pPr>
              <w:pStyle w:val="Heading5"/>
              <w:shd w:val="clear" w:color="auto" w:fill="auto"/>
              <w:spacing w:before="0" w:after="0"/>
              <w:ind w:left="0"/>
              <w:jc w:val="center"/>
              <w:rPr>
                <w:b w:val="0"/>
                <w:bCs/>
              </w:rPr>
            </w:pPr>
            <w:r>
              <w:rPr>
                <w:b w:val="0"/>
                <w:bCs/>
              </w:rPr>
              <w:t>10</w:t>
            </w:r>
          </w:p>
        </w:tc>
        <w:tc>
          <w:tcPr>
            <w:tcW w:w="0" w:type="auto"/>
            <w:shd w:val="clear" w:color="auto" w:fill="auto"/>
          </w:tcPr>
          <w:p w14:paraId="3C72A649" w14:textId="77777777" w:rsidR="00316D0A" w:rsidRPr="00402FA4" w:rsidRDefault="00316D0A" w:rsidP="00A93BA5">
            <w:pPr>
              <w:pStyle w:val="Heading5"/>
              <w:shd w:val="clear" w:color="auto" w:fill="auto"/>
              <w:spacing w:before="0" w:after="0"/>
              <w:ind w:left="0"/>
              <w:rPr>
                <w:b w:val="0"/>
                <w:bCs/>
              </w:rPr>
            </w:pPr>
            <w:r w:rsidRPr="007C2BC2">
              <w:rPr>
                <w:b w:val="0"/>
                <w:bCs/>
              </w:rPr>
              <w:t>Example of Observation and Results Synthesis tables by health level</w:t>
            </w:r>
          </w:p>
        </w:tc>
      </w:tr>
      <w:tr w:rsidR="00316D0A" w:rsidRPr="00402FA4" w14:paraId="29795314" w14:textId="77777777" w:rsidTr="00E3773F">
        <w:tc>
          <w:tcPr>
            <w:tcW w:w="0" w:type="auto"/>
            <w:shd w:val="clear" w:color="auto" w:fill="auto"/>
            <w:vAlign w:val="center"/>
          </w:tcPr>
          <w:p w14:paraId="70F10036" w14:textId="77777777" w:rsidR="00316D0A" w:rsidRDefault="00316D0A" w:rsidP="00A93BA5">
            <w:pPr>
              <w:pStyle w:val="Heading5"/>
              <w:shd w:val="clear" w:color="auto" w:fill="auto"/>
              <w:spacing w:before="0" w:after="0"/>
              <w:ind w:left="0"/>
              <w:jc w:val="center"/>
              <w:rPr>
                <w:b w:val="0"/>
                <w:bCs/>
              </w:rPr>
            </w:pPr>
            <w:r>
              <w:rPr>
                <w:b w:val="0"/>
                <w:bCs/>
              </w:rPr>
              <w:t>11</w:t>
            </w:r>
          </w:p>
        </w:tc>
        <w:tc>
          <w:tcPr>
            <w:tcW w:w="0" w:type="auto"/>
            <w:shd w:val="clear" w:color="auto" w:fill="auto"/>
          </w:tcPr>
          <w:p w14:paraId="68A1FD25" w14:textId="64921B67" w:rsidR="00316D0A" w:rsidRPr="00402FA4" w:rsidRDefault="00316D0A" w:rsidP="00A93BA5">
            <w:pPr>
              <w:pStyle w:val="Heading5"/>
              <w:shd w:val="clear" w:color="auto" w:fill="auto"/>
              <w:spacing w:before="0" w:after="0"/>
              <w:ind w:left="0"/>
              <w:rPr>
                <w:b w:val="0"/>
                <w:bCs/>
              </w:rPr>
            </w:pPr>
            <w:r w:rsidRPr="007C2BC2">
              <w:rPr>
                <w:b w:val="0"/>
                <w:bCs/>
              </w:rPr>
              <w:t xml:space="preserve">Example PowerPoint Presentation, </w:t>
            </w:r>
            <w:r w:rsidR="00E338B3">
              <w:rPr>
                <w:b w:val="0"/>
                <w:bCs/>
              </w:rPr>
              <w:t xml:space="preserve">Outline </w:t>
            </w:r>
            <w:r w:rsidRPr="007C2BC2">
              <w:rPr>
                <w:b w:val="0"/>
                <w:bCs/>
              </w:rPr>
              <w:t>with Summary of Observations and Recommendations</w:t>
            </w:r>
          </w:p>
        </w:tc>
      </w:tr>
      <w:tr w:rsidR="00316D0A" w:rsidRPr="00402FA4" w14:paraId="23200FFC" w14:textId="77777777" w:rsidTr="00E3773F">
        <w:tc>
          <w:tcPr>
            <w:tcW w:w="0" w:type="auto"/>
            <w:shd w:val="clear" w:color="auto" w:fill="auto"/>
            <w:vAlign w:val="center"/>
          </w:tcPr>
          <w:p w14:paraId="2E74E98D" w14:textId="77777777" w:rsidR="00316D0A" w:rsidRDefault="00316D0A" w:rsidP="00A93BA5">
            <w:pPr>
              <w:pStyle w:val="Heading5"/>
              <w:shd w:val="clear" w:color="auto" w:fill="auto"/>
              <w:spacing w:before="0" w:after="0"/>
              <w:ind w:left="0"/>
              <w:jc w:val="center"/>
              <w:rPr>
                <w:b w:val="0"/>
                <w:bCs/>
              </w:rPr>
            </w:pPr>
            <w:r>
              <w:rPr>
                <w:b w:val="0"/>
                <w:bCs/>
              </w:rPr>
              <w:t>12</w:t>
            </w:r>
          </w:p>
        </w:tc>
        <w:tc>
          <w:tcPr>
            <w:tcW w:w="0" w:type="auto"/>
            <w:shd w:val="clear" w:color="auto" w:fill="auto"/>
          </w:tcPr>
          <w:p w14:paraId="5630A468" w14:textId="77777777" w:rsidR="00316D0A" w:rsidRPr="00402FA4" w:rsidRDefault="00316D0A" w:rsidP="00A93BA5">
            <w:pPr>
              <w:pStyle w:val="Heading5"/>
              <w:shd w:val="clear" w:color="auto" w:fill="auto"/>
              <w:spacing w:before="0" w:after="0"/>
              <w:ind w:left="0"/>
              <w:rPr>
                <w:b w:val="0"/>
                <w:bCs/>
              </w:rPr>
            </w:pPr>
            <w:r w:rsidRPr="007C2BC2">
              <w:rPr>
                <w:b w:val="0"/>
                <w:bCs/>
              </w:rPr>
              <w:t xml:space="preserve">PowerPoint presented during 2019 Vector </w:t>
            </w:r>
            <w:proofErr w:type="spellStart"/>
            <w:r w:rsidRPr="007C2BC2">
              <w:rPr>
                <w:b w:val="0"/>
                <w:bCs/>
              </w:rPr>
              <w:t>LearningXchange</w:t>
            </w:r>
            <w:proofErr w:type="spellEnd"/>
            <w:r w:rsidRPr="007C2BC2">
              <w:rPr>
                <w:b w:val="0"/>
                <w:bCs/>
              </w:rPr>
              <w:t xml:space="preserve"> Webinars</w:t>
            </w:r>
          </w:p>
        </w:tc>
      </w:tr>
      <w:tr w:rsidR="00316D0A" w:rsidRPr="007C2BC2" w14:paraId="18DE372A" w14:textId="77777777" w:rsidTr="00E3773F">
        <w:tc>
          <w:tcPr>
            <w:tcW w:w="0" w:type="auto"/>
            <w:shd w:val="clear" w:color="auto" w:fill="auto"/>
            <w:vAlign w:val="center"/>
          </w:tcPr>
          <w:p w14:paraId="20120719" w14:textId="77777777" w:rsidR="00316D0A" w:rsidRDefault="00316D0A" w:rsidP="00A93BA5">
            <w:pPr>
              <w:pStyle w:val="Heading5"/>
              <w:shd w:val="clear" w:color="auto" w:fill="auto"/>
              <w:spacing w:before="0" w:after="0"/>
              <w:ind w:left="0"/>
              <w:jc w:val="center"/>
              <w:rPr>
                <w:b w:val="0"/>
                <w:bCs/>
              </w:rPr>
            </w:pPr>
            <w:r>
              <w:rPr>
                <w:b w:val="0"/>
                <w:bCs/>
              </w:rPr>
              <w:t>13</w:t>
            </w:r>
          </w:p>
        </w:tc>
        <w:tc>
          <w:tcPr>
            <w:tcW w:w="0" w:type="auto"/>
            <w:shd w:val="clear" w:color="auto" w:fill="auto"/>
          </w:tcPr>
          <w:p w14:paraId="6EA707AC" w14:textId="012A7A0B" w:rsidR="00316D0A" w:rsidRPr="007C2BC2" w:rsidRDefault="00316D0A" w:rsidP="00A93BA5">
            <w:pPr>
              <w:pStyle w:val="Heading5"/>
              <w:shd w:val="clear" w:color="auto" w:fill="auto"/>
              <w:spacing w:before="0" w:after="0"/>
              <w:ind w:left="0"/>
              <w:rPr>
                <w:b w:val="0"/>
                <w:bCs/>
              </w:rPr>
            </w:pPr>
            <w:r w:rsidRPr="007C2BC2">
              <w:rPr>
                <w:b w:val="0"/>
                <w:bCs/>
              </w:rPr>
              <w:t>Example Assessment Report</w:t>
            </w:r>
            <w:r w:rsidR="00E338B3">
              <w:rPr>
                <w:b w:val="0"/>
                <w:bCs/>
              </w:rPr>
              <w:t>, Outline</w:t>
            </w:r>
          </w:p>
        </w:tc>
      </w:tr>
    </w:tbl>
    <w:p w14:paraId="080E47DA" w14:textId="5161A9DB" w:rsidR="009F5E10" w:rsidRDefault="009F5E10" w:rsidP="00E3773F">
      <w:pPr>
        <w:pStyle w:val="1-DocText"/>
      </w:pPr>
    </w:p>
    <w:p w14:paraId="642DF01E" w14:textId="059D1891" w:rsidR="00E02F4E" w:rsidRPr="009F4638" w:rsidRDefault="009F5E10" w:rsidP="009F4638">
      <w:pPr>
        <w:rPr>
          <w:color w:val="000000"/>
        </w:rPr>
      </w:pPr>
      <w:r>
        <w:br w:type="page"/>
      </w:r>
    </w:p>
    <w:p w14:paraId="1D730F54" w14:textId="2ADBA190" w:rsidR="00E02F4E" w:rsidRPr="00BB4920" w:rsidRDefault="00E02F4E" w:rsidP="00E02F4E">
      <w:pPr>
        <w:pStyle w:val="Heading1"/>
      </w:pPr>
      <w:bookmarkStart w:id="62" w:name="_Toc43130684"/>
      <w:r>
        <w:lastRenderedPageBreak/>
        <w:t>Assessment Budget</w:t>
      </w:r>
      <w:bookmarkEnd w:id="62"/>
    </w:p>
    <w:p w14:paraId="0C328160" w14:textId="6A4C9B63" w:rsidR="00C41775" w:rsidRPr="008C610E" w:rsidRDefault="008C610E" w:rsidP="00E3773F">
      <w:pPr>
        <w:pStyle w:val="1-DocText"/>
      </w:pPr>
      <w:r w:rsidRPr="009F4638">
        <w:t xml:space="preserve">The cost of conducting this assessment was between </w:t>
      </w:r>
      <w:r w:rsidR="00535EB0" w:rsidRPr="009F4638">
        <w:t xml:space="preserve">$30,000-50,000 </w:t>
      </w:r>
      <w:r w:rsidRPr="009F4638">
        <w:t>across four countries in 2018-2019.</w:t>
      </w:r>
      <w:r w:rsidR="00260A0C" w:rsidRPr="009F4638">
        <w:t xml:space="preserve"> </w:t>
      </w:r>
      <w:r w:rsidRPr="009F4638">
        <w:t xml:space="preserve"> Key cost factors are transport and per diem for field work and travel for international technical assistance. A budget template with detailed indicative costings is </w:t>
      </w:r>
      <w:r w:rsidR="00D3138F" w:rsidRPr="009F4638">
        <w:t>provided in Assessment Tools, Tool 1</w:t>
      </w:r>
      <w:r w:rsidR="00E338B3">
        <w:t>4</w:t>
      </w:r>
      <w:r w:rsidR="00D3138F" w:rsidRPr="009F4638">
        <w:t xml:space="preserve">. </w:t>
      </w:r>
    </w:p>
    <w:p w14:paraId="495FEA48" w14:textId="78BF9E8C" w:rsidR="0001056A" w:rsidRDefault="0001056A" w:rsidP="0001056A">
      <w:pPr>
        <w:pStyle w:val="Heading3"/>
      </w:pPr>
      <w:bookmarkStart w:id="63" w:name="_Toc43130685"/>
      <w:r>
        <w:t>Assessment Budget Tool</w:t>
      </w:r>
      <w:bookmarkEnd w:id="58"/>
      <w:bookmarkEnd w:id="59"/>
      <w:bookmarkEnd w:id="60"/>
      <w:bookmarkEnd w:id="61"/>
      <w:bookmarkEnd w:id="63"/>
    </w:p>
    <w:tbl>
      <w:tblPr>
        <w:tblStyle w:val="TableGrid"/>
        <w:tblW w:w="9535" w:type="dxa"/>
        <w:tblLook w:val="04A0" w:firstRow="1" w:lastRow="0" w:firstColumn="1" w:lastColumn="0" w:noHBand="0" w:noVBand="1"/>
      </w:tblPr>
      <w:tblGrid>
        <w:gridCol w:w="775"/>
        <w:gridCol w:w="8760"/>
      </w:tblGrid>
      <w:tr w:rsidR="00316D0A" w:rsidRPr="00C00FAC" w14:paraId="526F25A1" w14:textId="77777777" w:rsidTr="00E3773F">
        <w:tc>
          <w:tcPr>
            <w:tcW w:w="0" w:type="auto"/>
            <w:shd w:val="clear" w:color="auto" w:fill="DBE5F1" w:themeFill="accent1" w:themeFillTint="33"/>
          </w:tcPr>
          <w:p w14:paraId="19FDC643" w14:textId="77777777" w:rsidR="00316D0A" w:rsidRPr="00C00FAC" w:rsidRDefault="00316D0A" w:rsidP="00A93BA5">
            <w:pPr>
              <w:pStyle w:val="Heading5"/>
              <w:shd w:val="clear" w:color="auto" w:fill="auto"/>
              <w:spacing w:before="0" w:after="0"/>
              <w:ind w:left="0"/>
            </w:pPr>
            <w:r w:rsidRPr="00C00FAC">
              <w:t>Tool</w:t>
            </w:r>
          </w:p>
        </w:tc>
        <w:tc>
          <w:tcPr>
            <w:tcW w:w="8760" w:type="dxa"/>
            <w:shd w:val="clear" w:color="auto" w:fill="DBE5F1" w:themeFill="accent1" w:themeFillTint="33"/>
          </w:tcPr>
          <w:p w14:paraId="37ABBC9A" w14:textId="77777777" w:rsidR="00316D0A" w:rsidRPr="00C00FAC" w:rsidRDefault="00316D0A" w:rsidP="00A93BA5">
            <w:pPr>
              <w:pStyle w:val="Heading5"/>
              <w:shd w:val="clear" w:color="auto" w:fill="auto"/>
              <w:spacing w:before="0" w:after="0"/>
              <w:ind w:left="0"/>
            </w:pPr>
            <w:r w:rsidRPr="00C00FAC">
              <w:t>Name</w:t>
            </w:r>
          </w:p>
        </w:tc>
      </w:tr>
      <w:tr w:rsidR="00316D0A" w:rsidRPr="007C2BC2" w14:paraId="74311FAF" w14:textId="77777777" w:rsidTr="00E3773F">
        <w:tc>
          <w:tcPr>
            <w:tcW w:w="0" w:type="auto"/>
            <w:shd w:val="clear" w:color="auto" w:fill="auto"/>
            <w:vAlign w:val="center"/>
          </w:tcPr>
          <w:p w14:paraId="0E7FCAE7" w14:textId="3C4FB969" w:rsidR="00316D0A" w:rsidRDefault="00316D0A" w:rsidP="00A93BA5">
            <w:pPr>
              <w:pStyle w:val="Heading5"/>
              <w:shd w:val="clear" w:color="auto" w:fill="auto"/>
              <w:spacing w:before="0" w:after="0"/>
              <w:ind w:left="0"/>
              <w:jc w:val="center"/>
              <w:rPr>
                <w:b w:val="0"/>
                <w:bCs/>
              </w:rPr>
            </w:pPr>
            <w:r>
              <w:rPr>
                <w:b w:val="0"/>
                <w:bCs/>
              </w:rPr>
              <w:t>1</w:t>
            </w:r>
            <w:r w:rsidR="00E338B3">
              <w:rPr>
                <w:b w:val="0"/>
                <w:bCs/>
              </w:rPr>
              <w:t>4</w:t>
            </w:r>
          </w:p>
        </w:tc>
        <w:tc>
          <w:tcPr>
            <w:tcW w:w="8760" w:type="dxa"/>
            <w:shd w:val="clear" w:color="auto" w:fill="auto"/>
          </w:tcPr>
          <w:p w14:paraId="5797C36D" w14:textId="77777777" w:rsidR="00316D0A" w:rsidRPr="007C2BC2" w:rsidRDefault="00316D0A" w:rsidP="00A93BA5">
            <w:pPr>
              <w:pStyle w:val="Heading5"/>
              <w:shd w:val="clear" w:color="auto" w:fill="auto"/>
              <w:spacing w:before="0" w:after="0"/>
              <w:ind w:left="0"/>
              <w:rPr>
                <w:b w:val="0"/>
                <w:bCs/>
              </w:rPr>
            </w:pPr>
            <w:r w:rsidRPr="007C2BC2">
              <w:rPr>
                <w:b w:val="0"/>
                <w:bCs/>
              </w:rPr>
              <w:t>Assessment Budget Template with Indicative Costings</w:t>
            </w:r>
          </w:p>
        </w:tc>
      </w:tr>
    </w:tbl>
    <w:p w14:paraId="7737175E" w14:textId="77777777" w:rsidR="0001056A" w:rsidRPr="00C00FAC" w:rsidRDefault="0001056A" w:rsidP="009F4638">
      <w:pPr>
        <w:pStyle w:val="Heading5"/>
        <w:ind w:left="0"/>
      </w:pPr>
    </w:p>
    <w:sectPr w:rsidR="0001056A" w:rsidRPr="00C00FAC" w:rsidSect="00415A82">
      <w:headerReference w:type="default" r:id="rId24"/>
      <w:footerReference w:type="default" r:id="rId25"/>
      <w:type w:val="oddPage"/>
      <w:pgSz w:w="12240" w:h="15840" w:code="1"/>
      <w:pgMar w:top="1440" w:right="1440" w:bottom="1296" w:left="1440" w:header="720" w:footer="720" w:gutter="0"/>
      <w:pgBorders w:offsetFrom="page">
        <w:bottom w:val="single" w:sz="2" w:space="24" w:color="002A6C"/>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8E59" w14:textId="77777777" w:rsidR="0006123B" w:rsidRDefault="0006123B">
      <w:r>
        <w:separator/>
      </w:r>
    </w:p>
  </w:endnote>
  <w:endnote w:type="continuationSeparator" w:id="0">
    <w:p w14:paraId="3CAD3558" w14:textId="77777777" w:rsidR="0006123B" w:rsidRDefault="0006123B">
      <w:r>
        <w:continuationSeparator/>
      </w:r>
    </w:p>
  </w:endnote>
  <w:endnote w:type="continuationNotice" w:id="1">
    <w:p w14:paraId="616709BD" w14:textId="77777777" w:rsidR="0006123B" w:rsidRDefault="0006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Gill Sans">
    <w:altName w:val="Arial"/>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7062669"/>
      <w:docPartObj>
        <w:docPartGallery w:val="Page Numbers (Bottom of Page)"/>
        <w:docPartUnique/>
      </w:docPartObj>
    </w:sdtPr>
    <w:sdtEndPr>
      <w:rPr>
        <w:rStyle w:val="PageNumber"/>
      </w:rPr>
    </w:sdtEndPr>
    <w:sdtContent>
      <w:p w14:paraId="3A271ADE" w14:textId="77777777" w:rsidR="00E338B3" w:rsidRDefault="00E338B3" w:rsidP="00852F2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E9523" w14:textId="77777777" w:rsidR="00E338B3" w:rsidRDefault="00E338B3" w:rsidP="00852F2D">
    <w:pPr>
      <w:pStyle w:val="Footer"/>
      <w:rPr>
        <w:rStyle w:val="PageNumber"/>
      </w:rPr>
    </w:pPr>
  </w:p>
  <w:p w14:paraId="40EC1510" w14:textId="77777777" w:rsidR="00E338B3" w:rsidRDefault="00E338B3" w:rsidP="00852F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CF9C" w14:textId="77777777" w:rsidR="00E338B3" w:rsidRDefault="00E3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7BE4" w14:textId="77777777" w:rsidR="00E338B3" w:rsidRPr="00354020" w:rsidRDefault="00E338B3" w:rsidP="00852F2D">
    <w:pPr>
      <w:pStyle w:val="Footer"/>
      <w:rPr>
        <w:rStyle w:val="PageNumber"/>
        <w:rFonts w:ascii="Garamond" w:hAnsi="Garamond"/>
      </w:rPr>
    </w:pPr>
    <w:r w:rsidRPr="00354020">
      <w:rPr>
        <w:rStyle w:val="PageNumber"/>
        <w:rFonts w:ascii="Garamond" w:hAnsi="Garamond"/>
      </w:rPr>
      <w:fldChar w:fldCharType="begin"/>
    </w:r>
    <w:r w:rsidRPr="00354020">
      <w:rPr>
        <w:rStyle w:val="PageNumber"/>
        <w:rFonts w:ascii="Garamond" w:hAnsi="Garamond"/>
      </w:rPr>
      <w:instrText xml:space="preserve">PAGE  </w:instrText>
    </w:r>
    <w:r w:rsidRPr="00354020">
      <w:rPr>
        <w:rStyle w:val="PageNumber"/>
        <w:rFonts w:ascii="Garamond" w:hAnsi="Garamond"/>
      </w:rPr>
      <w:fldChar w:fldCharType="separate"/>
    </w:r>
    <w:r>
      <w:rPr>
        <w:rStyle w:val="PageNumber"/>
        <w:rFonts w:ascii="Garamond" w:hAnsi="Garamond"/>
        <w:noProof/>
      </w:rPr>
      <w:t>v</w:t>
    </w:r>
    <w:r w:rsidRPr="00354020">
      <w:rPr>
        <w:rStyle w:val="PageNumber"/>
        <w:rFonts w:ascii="Garamond" w:hAnsi="Garamond"/>
      </w:rPr>
      <w:fldChar w:fldCharType="end"/>
    </w:r>
  </w:p>
  <w:p w14:paraId="4D41C281" w14:textId="77777777" w:rsidR="00E338B3" w:rsidRDefault="00E338B3" w:rsidP="00852F2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C37D" w14:textId="77777777" w:rsidR="00E338B3" w:rsidRPr="00354020" w:rsidRDefault="00E338B3" w:rsidP="00852F2D">
    <w:pPr>
      <w:pStyle w:val="Footer"/>
      <w:rPr>
        <w:rStyle w:val="PageNumber"/>
        <w:rFonts w:ascii="Garamond" w:hAnsi="Garamond"/>
      </w:rPr>
    </w:pPr>
    <w:r w:rsidRPr="00354020">
      <w:rPr>
        <w:rStyle w:val="PageNumber"/>
        <w:rFonts w:ascii="Garamond" w:hAnsi="Garamond"/>
      </w:rPr>
      <w:fldChar w:fldCharType="begin"/>
    </w:r>
    <w:r w:rsidRPr="00354020">
      <w:rPr>
        <w:rStyle w:val="PageNumber"/>
        <w:rFonts w:ascii="Garamond" w:hAnsi="Garamond"/>
      </w:rPr>
      <w:instrText xml:space="preserve">PAGE  </w:instrText>
    </w:r>
    <w:r w:rsidRPr="00354020">
      <w:rPr>
        <w:rStyle w:val="PageNumber"/>
        <w:rFonts w:ascii="Garamond" w:hAnsi="Garamond"/>
      </w:rPr>
      <w:fldChar w:fldCharType="separate"/>
    </w:r>
    <w:r>
      <w:rPr>
        <w:rStyle w:val="PageNumber"/>
        <w:rFonts w:ascii="Garamond" w:hAnsi="Garamond"/>
        <w:noProof/>
      </w:rPr>
      <w:t>vii</w:t>
    </w:r>
    <w:r w:rsidRPr="00354020">
      <w:rPr>
        <w:rStyle w:val="PageNumber"/>
        <w:rFonts w:ascii="Garamond" w:hAnsi="Garamond"/>
      </w:rPr>
      <w:fldChar w:fldCharType="end"/>
    </w:r>
  </w:p>
  <w:p w14:paraId="53CA5E29" w14:textId="77777777" w:rsidR="00E338B3" w:rsidRDefault="00E338B3" w:rsidP="00852F2D">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D11C" w14:textId="77777777" w:rsidR="00E338B3" w:rsidRPr="00846666" w:rsidRDefault="00E338B3" w:rsidP="00852F2D">
    <w:pPr>
      <w:pStyle w:val="Footer"/>
      <w:rPr>
        <w:rStyle w:val="PageNumber"/>
        <w:rFonts w:ascii="Garamond" w:hAnsi="Garamond"/>
      </w:rPr>
    </w:pPr>
    <w:r w:rsidRPr="00846666">
      <w:rPr>
        <w:rStyle w:val="PageNumber"/>
        <w:rFonts w:ascii="Garamond" w:hAnsi="Garamond"/>
      </w:rPr>
      <w:fldChar w:fldCharType="begin"/>
    </w:r>
    <w:r w:rsidRPr="00846666">
      <w:rPr>
        <w:rStyle w:val="PageNumber"/>
        <w:rFonts w:ascii="Garamond" w:hAnsi="Garamond"/>
      </w:rPr>
      <w:instrText xml:space="preserve">PAGE  </w:instrText>
    </w:r>
    <w:r w:rsidRPr="00846666">
      <w:rPr>
        <w:rStyle w:val="PageNumber"/>
        <w:rFonts w:ascii="Garamond" w:hAnsi="Garamond"/>
      </w:rPr>
      <w:fldChar w:fldCharType="separate"/>
    </w:r>
    <w:r>
      <w:rPr>
        <w:rStyle w:val="PageNumber"/>
        <w:rFonts w:ascii="Garamond" w:hAnsi="Garamond"/>
        <w:noProof/>
      </w:rPr>
      <w:t>x</w:t>
    </w:r>
    <w:r w:rsidRPr="00846666">
      <w:rPr>
        <w:rStyle w:val="PageNumber"/>
        <w:rFonts w:ascii="Garamond" w:hAnsi="Garamond"/>
      </w:rPr>
      <w:fldChar w:fldCharType="end"/>
    </w:r>
  </w:p>
  <w:p w14:paraId="69B616AE" w14:textId="77777777" w:rsidR="00E338B3" w:rsidRDefault="00E338B3" w:rsidP="00852F2D">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FBB3" w14:textId="77777777" w:rsidR="00E338B3" w:rsidRDefault="00E338B3" w:rsidP="00852F2D">
    <w:pPr>
      <w:pStyle w:val="Foo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Pr>
        <w:rStyle w:val="PageNumber"/>
        <w:rFonts w:ascii="Gill Sans MT" w:hAnsi="Gill Sans MT"/>
        <w:noProof/>
      </w:rPr>
      <w:t>20</w:t>
    </w:r>
    <w:r>
      <w:rPr>
        <w:rStyle w:val="PageNumber"/>
        <w:rFonts w:ascii="Gill Sans MT" w:hAnsi="Gill Sans MT"/>
      </w:rPr>
      <w:fldChar w:fldCharType="end"/>
    </w:r>
  </w:p>
  <w:p w14:paraId="01DFCA7D" w14:textId="77777777" w:rsidR="00E338B3" w:rsidRDefault="00E338B3" w:rsidP="00852F2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52AFB" w14:textId="77777777" w:rsidR="0006123B" w:rsidRDefault="0006123B" w:rsidP="00FB14F1">
      <w:pPr>
        <w:pStyle w:val="TableBody"/>
        <w:rPr>
          <w:noProof w:val="0"/>
        </w:rPr>
      </w:pPr>
      <w:r>
        <w:t xml:space="preserve">       </w:t>
      </w:r>
      <w:r>
        <w:separator/>
      </w:r>
    </w:p>
    <w:p w14:paraId="2CAE84AB" w14:textId="77777777" w:rsidR="0006123B" w:rsidRDefault="0006123B"/>
  </w:footnote>
  <w:footnote w:type="continuationSeparator" w:id="0">
    <w:p w14:paraId="1465D079" w14:textId="77777777" w:rsidR="0006123B" w:rsidRDefault="0006123B">
      <w:r>
        <w:continuationSeparator/>
      </w:r>
    </w:p>
  </w:footnote>
  <w:footnote w:type="continuationNotice" w:id="1">
    <w:p w14:paraId="66864F78" w14:textId="77777777" w:rsidR="0006123B" w:rsidRDefault="0006123B"/>
  </w:footnote>
  <w:footnote w:id="2">
    <w:p w14:paraId="5914FB83" w14:textId="34C791B7" w:rsidR="00E338B3" w:rsidRPr="00D90D08" w:rsidRDefault="00E338B3" w:rsidP="005207BF">
      <w:pPr>
        <w:pStyle w:val="FootnoteText"/>
        <w:spacing w:line="240" w:lineRule="auto"/>
        <w:ind w:left="90" w:hanging="90"/>
        <w:jc w:val="both"/>
        <w:rPr>
          <w:rFonts w:ascii="Garamond" w:hAnsi="Garamond" w:cstheme="minorHAnsi"/>
          <w:color w:val="000000" w:themeColor="text1"/>
          <w:sz w:val="16"/>
          <w:szCs w:val="16"/>
        </w:rPr>
      </w:pPr>
      <w:r w:rsidRPr="00D90D08">
        <w:rPr>
          <w:rStyle w:val="FootnoteReference"/>
          <w:rFonts w:ascii="Garamond" w:hAnsi="Garamond"/>
          <w:color w:val="000000" w:themeColor="text1"/>
          <w:szCs w:val="16"/>
        </w:rPr>
        <w:footnoteRef/>
      </w:r>
      <w:r w:rsidRPr="00D90D08">
        <w:rPr>
          <w:rFonts w:ascii="Garamond" w:hAnsi="Garamond"/>
          <w:color w:val="000000" w:themeColor="text1"/>
          <w:sz w:val="16"/>
          <w:szCs w:val="16"/>
        </w:rPr>
        <w:t xml:space="preserve"> </w:t>
      </w:r>
      <w:r w:rsidRPr="00D90D08">
        <w:rPr>
          <w:rFonts w:ascii="Garamond" w:hAnsi="Garamond" w:cstheme="minorHAnsi"/>
          <w:color w:val="000000" w:themeColor="text1"/>
          <w:sz w:val="16"/>
          <w:szCs w:val="16"/>
        </w:rPr>
        <w:t>RBM Partnership to End Malaria, Vector Control Working Group, 13</w:t>
      </w:r>
      <w:r w:rsidRPr="00D90D08">
        <w:rPr>
          <w:rFonts w:ascii="Garamond" w:hAnsi="Garamond" w:cstheme="minorHAnsi"/>
          <w:color w:val="000000" w:themeColor="text1"/>
          <w:sz w:val="16"/>
          <w:szCs w:val="16"/>
          <w:vertAlign w:val="superscript"/>
        </w:rPr>
        <w:t>th</w:t>
      </w:r>
      <w:r w:rsidRPr="00D90D08">
        <w:rPr>
          <w:rFonts w:ascii="Garamond" w:hAnsi="Garamond" w:cstheme="minorHAnsi"/>
          <w:color w:val="000000" w:themeColor="text1"/>
          <w:sz w:val="16"/>
          <w:szCs w:val="16"/>
        </w:rPr>
        <w:t xml:space="preserve"> Meeting Report; Hannah Koenker and Lena Lorenz, </w:t>
      </w:r>
      <w:r>
        <w:rPr>
          <w:rFonts w:ascii="Garamond" w:hAnsi="Garamond" w:cstheme="minorHAnsi"/>
          <w:color w:val="000000" w:themeColor="text1"/>
          <w:sz w:val="16"/>
          <w:szCs w:val="16"/>
        </w:rPr>
        <w:t>ITN</w:t>
      </w:r>
      <w:r w:rsidRPr="00D90D08">
        <w:rPr>
          <w:rFonts w:ascii="Garamond" w:hAnsi="Garamond" w:cstheme="minorHAnsi"/>
          <w:color w:val="000000" w:themeColor="text1"/>
          <w:sz w:val="16"/>
          <w:szCs w:val="16"/>
        </w:rPr>
        <w:t xml:space="preserve"> Priorities Workstream Meeting Powerpoint presentation at VCWG 13</w:t>
      </w:r>
      <w:r w:rsidRPr="00D90D08">
        <w:rPr>
          <w:rFonts w:ascii="Garamond" w:hAnsi="Garamond" w:cstheme="minorHAnsi"/>
          <w:color w:val="000000" w:themeColor="text1"/>
          <w:sz w:val="16"/>
          <w:szCs w:val="16"/>
          <w:vertAlign w:val="superscript"/>
        </w:rPr>
        <w:t>th</w:t>
      </w:r>
      <w:r w:rsidRPr="00D90D08">
        <w:rPr>
          <w:rFonts w:ascii="Garamond" w:hAnsi="Garamond" w:cstheme="minorHAnsi"/>
          <w:color w:val="000000" w:themeColor="text1"/>
          <w:sz w:val="16"/>
          <w:szCs w:val="16"/>
        </w:rPr>
        <w:t xml:space="preserve"> Annual Meeting. </w:t>
      </w:r>
    </w:p>
  </w:footnote>
  <w:footnote w:id="3">
    <w:p w14:paraId="74EFB2E1" w14:textId="1B73329E" w:rsidR="00E338B3" w:rsidRDefault="00E338B3" w:rsidP="009B1827">
      <w:pPr>
        <w:pStyle w:val="FootnoteText"/>
        <w:ind w:left="0"/>
      </w:pPr>
      <w:r w:rsidRPr="00E60ACF">
        <w:rPr>
          <w:rStyle w:val="FootnoteReference"/>
        </w:rPr>
        <w:footnoteRef/>
      </w:r>
      <w:r w:rsidRPr="009B1827">
        <w:rPr>
          <w:rFonts w:ascii="Garamond" w:hAnsi="Garamond" w:cstheme="minorHAnsi"/>
          <w:color w:val="000000" w:themeColor="text1"/>
          <w:sz w:val="16"/>
          <w:szCs w:val="16"/>
        </w:rPr>
        <w:t xml:space="preserve"> </w:t>
      </w:r>
      <w:hyperlink r:id="rId1" w:history="1">
        <w:r w:rsidRPr="009B1827">
          <w:rPr>
            <w:rFonts w:ascii="Garamond" w:hAnsi="Garamond" w:cstheme="minorHAnsi"/>
            <w:color w:val="000000" w:themeColor="text1"/>
            <w:sz w:val="16"/>
            <w:szCs w:val="16"/>
          </w:rPr>
          <w:t>https://www.ncbi.nlm.nih.gov/pubmed/31669182</w:t>
        </w:r>
      </w:hyperlink>
    </w:p>
  </w:footnote>
  <w:footnote w:id="4">
    <w:p w14:paraId="5409E122" w14:textId="04823D90" w:rsidR="00E338B3" w:rsidRPr="009B1827" w:rsidRDefault="00E338B3" w:rsidP="009B1827">
      <w:pPr>
        <w:pStyle w:val="FootnoteText"/>
        <w:ind w:left="0"/>
        <w:rPr>
          <w:rFonts w:ascii="Garamond" w:hAnsi="Garamond"/>
          <w:sz w:val="16"/>
          <w:szCs w:val="16"/>
        </w:rPr>
      </w:pPr>
      <w:r w:rsidRPr="009B1827">
        <w:rPr>
          <w:rStyle w:val="FootnoteReference"/>
          <w:rFonts w:ascii="Garamond" w:hAnsi="Garamond"/>
          <w:szCs w:val="16"/>
        </w:rPr>
        <w:footnoteRef/>
      </w:r>
      <w:r w:rsidRPr="009B1827">
        <w:rPr>
          <w:rFonts w:ascii="Garamond" w:hAnsi="Garamond"/>
          <w:sz w:val="16"/>
          <w:szCs w:val="16"/>
        </w:rPr>
        <w:t xml:space="preserve"> www.ncbi.nlm.nih.gov/pmc/articles/PMC7055111/</w:t>
      </w:r>
    </w:p>
  </w:footnote>
  <w:footnote w:id="5">
    <w:p w14:paraId="50E48C37" w14:textId="3FEEFE65" w:rsidR="00E338B3" w:rsidRPr="001B48AE" w:rsidRDefault="00E338B3" w:rsidP="005207BF">
      <w:pPr>
        <w:autoSpaceDE w:val="0"/>
        <w:autoSpaceDN w:val="0"/>
        <w:adjustRightInd w:val="0"/>
        <w:rPr>
          <w:rFonts w:cstheme="minorHAnsi"/>
          <w:sz w:val="18"/>
          <w:szCs w:val="18"/>
        </w:rPr>
      </w:pPr>
      <w:r w:rsidRPr="00D90D08">
        <w:rPr>
          <w:rStyle w:val="FootnoteReference"/>
          <w:rFonts w:ascii="Garamond" w:hAnsi="Garamond" w:cstheme="minorHAnsi"/>
          <w:szCs w:val="16"/>
        </w:rPr>
        <w:footnoteRef/>
      </w:r>
      <w:r w:rsidRPr="00D90D08">
        <w:rPr>
          <w:rFonts w:ascii="Garamond" w:hAnsi="Garamond" w:cstheme="minorHAnsi"/>
          <w:sz w:val="16"/>
          <w:szCs w:val="16"/>
        </w:rPr>
        <w:t xml:space="preserve"> RBM Vector Control Working Group (VCWG) Continuous </w:t>
      </w:r>
      <w:r>
        <w:rPr>
          <w:rFonts w:ascii="Garamond" w:hAnsi="Garamond" w:cstheme="minorHAnsi"/>
          <w:sz w:val="16"/>
          <w:szCs w:val="16"/>
        </w:rPr>
        <w:t>ITN</w:t>
      </w:r>
      <w:r w:rsidRPr="00D90D08">
        <w:rPr>
          <w:rFonts w:ascii="Garamond" w:hAnsi="Garamond" w:cstheme="minorHAnsi"/>
          <w:sz w:val="16"/>
          <w:szCs w:val="16"/>
        </w:rPr>
        <w:t xml:space="preserve"> Distribution Systems Work Stream. Accountable partnership. Lessons in Brief, Malawi’s Keys to Success N° 1. Draft, June 2011.</w:t>
      </w:r>
    </w:p>
  </w:footnote>
  <w:footnote w:id="6">
    <w:p w14:paraId="4313D657" w14:textId="0DDBD1A3" w:rsidR="00E338B3" w:rsidRPr="001D3521" w:rsidRDefault="00E338B3" w:rsidP="001D3521">
      <w:pPr>
        <w:rPr>
          <w:rFonts w:ascii="Garamond" w:hAnsi="Garamond"/>
          <w:sz w:val="18"/>
          <w:szCs w:val="18"/>
        </w:rPr>
      </w:pPr>
      <w:r w:rsidRPr="001D3521">
        <w:rPr>
          <w:rStyle w:val="FootnoteReference"/>
          <w:rFonts w:ascii="Garamond" w:hAnsi="Garamond"/>
          <w:sz w:val="18"/>
          <w:szCs w:val="18"/>
        </w:rPr>
        <w:footnoteRef/>
      </w:r>
      <w:r w:rsidRPr="001D3521">
        <w:rPr>
          <w:rFonts w:ascii="Garamond" w:hAnsi="Garamond"/>
          <w:sz w:val="18"/>
          <w:szCs w:val="18"/>
        </w:rPr>
        <w:t xml:space="preserve"> </w:t>
      </w:r>
      <w:r>
        <w:rPr>
          <w:rFonts w:ascii="Garamond" w:hAnsi="Garamond"/>
          <w:sz w:val="18"/>
          <w:szCs w:val="18"/>
        </w:rPr>
        <w:t xml:space="preserve">Partnership to End Malaria. </w:t>
      </w:r>
      <w:r w:rsidRPr="001D3521">
        <w:rPr>
          <w:rFonts w:ascii="Garamond" w:hAnsi="Garamond"/>
          <w:sz w:val="18"/>
          <w:szCs w:val="18"/>
        </w:rPr>
        <w:t xml:space="preserve">Malaria increasingly a disease of poverty and inequity, World Malaria Report 2019 reveals, 4 December, 2019. </w:t>
      </w:r>
      <w:hyperlink r:id="rId2" w:history="1">
        <w:r w:rsidRPr="001D3521">
          <w:rPr>
            <w:rStyle w:val="Hyperlink"/>
            <w:rFonts w:ascii="Garamond" w:hAnsi="Garamond"/>
            <w:sz w:val="18"/>
            <w:szCs w:val="18"/>
          </w:rPr>
          <w:t>https://endmalaria.org/news/malaria-increasingly-disease-poverty-and-inequity-reveals-world-malaria-report-2019</w:t>
        </w:r>
      </w:hyperlink>
    </w:p>
  </w:footnote>
  <w:footnote w:id="7">
    <w:p w14:paraId="06C2F909" w14:textId="454BE253" w:rsidR="00E338B3" w:rsidRPr="009F4638" w:rsidRDefault="00E338B3" w:rsidP="009F4638">
      <w:pPr>
        <w:pStyle w:val="FootnoteText"/>
        <w:ind w:left="0"/>
        <w:rPr>
          <w:rFonts w:ascii="Garamond" w:hAnsi="Garamond"/>
          <w:sz w:val="16"/>
          <w:szCs w:val="16"/>
        </w:rPr>
      </w:pPr>
      <w:r w:rsidRPr="009F4638">
        <w:rPr>
          <w:rStyle w:val="FootnoteReference"/>
          <w:rFonts w:ascii="Garamond" w:hAnsi="Garamond"/>
          <w:szCs w:val="16"/>
        </w:rPr>
        <w:footnoteRef/>
      </w:r>
      <w:r w:rsidRPr="009F4638">
        <w:rPr>
          <w:rFonts w:ascii="Garamond" w:hAnsi="Garamond"/>
          <w:sz w:val="16"/>
          <w:szCs w:val="16"/>
        </w:rPr>
        <w:t xml:space="preserve"> www.ncbi.nlm.nih.gov/pmc/articles/PMC4820050/</w:t>
      </w:r>
    </w:p>
  </w:footnote>
  <w:footnote w:id="8">
    <w:p w14:paraId="1715CA95" w14:textId="643E66FF" w:rsidR="00E338B3" w:rsidRPr="001D3521" w:rsidRDefault="00E338B3" w:rsidP="001D3521">
      <w:pPr>
        <w:autoSpaceDE w:val="0"/>
        <w:autoSpaceDN w:val="0"/>
        <w:adjustRightInd w:val="0"/>
        <w:rPr>
          <w:rFonts w:ascii="Garamond" w:hAnsi="Garamond"/>
          <w:sz w:val="18"/>
          <w:szCs w:val="18"/>
        </w:rPr>
      </w:pPr>
      <w:r>
        <w:rPr>
          <w:rStyle w:val="FootnoteReference"/>
        </w:rPr>
        <w:footnoteRef/>
      </w:r>
      <w:r>
        <w:t xml:space="preserve"> </w:t>
      </w:r>
      <w:r w:rsidRPr="001D3521">
        <w:rPr>
          <w:rFonts w:ascii="Garamond" w:hAnsi="Garamond"/>
          <w:sz w:val="18"/>
          <w:szCs w:val="18"/>
        </w:rPr>
        <w:t>World malaria report 2019. Geneva: World Health Organization; 2019. Licence:</w:t>
      </w:r>
      <w:r>
        <w:rPr>
          <w:rFonts w:ascii="Garamond" w:hAnsi="Garamond"/>
          <w:sz w:val="18"/>
          <w:szCs w:val="18"/>
        </w:rPr>
        <w:t xml:space="preserve"> </w:t>
      </w:r>
      <w:r w:rsidRPr="001D3521">
        <w:rPr>
          <w:rFonts w:ascii="Garamond" w:hAnsi="Garamond"/>
          <w:sz w:val="18"/>
          <w:szCs w:val="18"/>
        </w:rPr>
        <w:t>CC BY-NC-SA 3.0 IGO.</w:t>
      </w:r>
    </w:p>
  </w:footnote>
  <w:footnote w:id="9">
    <w:p w14:paraId="6B3D2E2D" w14:textId="100AA677" w:rsidR="00E338B3" w:rsidRPr="002904BC" w:rsidRDefault="00E338B3" w:rsidP="002904BC">
      <w:pPr>
        <w:autoSpaceDE w:val="0"/>
        <w:autoSpaceDN w:val="0"/>
        <w:adjustRightInd w:val="0"/>
        <w:rPr>
          <w:rFonts w:ascii="Garamond" w:hAnsi="Garamond"/>
          <w:sz w:val="18"/>
          <w:szCs w:val="18"/>
          <w:lang w:val="en-GB"/>
        </w:rPr>
      </w:pPr>
      <w:r w:rsidRPr="002904BC">
        <w:rPr>
          <w:rFonts w:ascii="Garamond" w:hAnsi="Garamond"/>
          <w:sz w:val="18"/>
          <w:szCs w:val="18"/>
          <w:vertAlign w:val="superscript"/>
          <w:lang w:val="en-GB"/>
        </w:rPr>
        <w:footnoteRef/>
      </w:r>
      <w:r w:rsidRPr="002904BC">
        <w:rPr>
          <w:rFonts w:ascii="Garamond" w:hAnsi="Garamond"/>
          <w:sz w:val="18"/>
          <w:szCs w:val="18"/>
          <w:lang w:val="en-GB"/>
        </w:rPr>
        <w:t xml:space="preserve"> World malaria report 2017. Geneva: World Health Organization; 2017. Licence:</w:t>
      </w:r>
      <w:r>
        <w:rPr>
          <w:rFonts w:ascii="Garamond" w:hAnsi="Garamond"/>
          <w:sz w:val="18"/>
          <w:szCs w:val="18"/>
          <w:lang w:val="en-GB"/>
        </w:rPr>
        <w:t xml:space="preserve"> </w:t>
      </w:r>
      <w:r w:rsidRPr="002904BC">
        <w:rPr>
          <w:rFonts w:ascii="Garamond" w:hAnsi="Garamond"/>
          <w:sz w:val="18"/>
          <w:szCs w:val="18"/>
        </w:rPr>
        <w:t>CC BY-NC-SA 3.0 IGO.</w:t>
      </w:r>
    </w:p>
  </w:footnote>
  <w:footnote w:id="10">
    <w:p w14:paraId="04B73409" w14:textId="77777777" w:rsidR="00E338B3" w:rsidRPr="002904BC" w:rsidRDefault="00E338B3" w:rsidP="002904BC">
      <w:pPr>
        <w:pStyle w:val="FootnoteText"/>
        <w:ind w:left="0"/>
        <w:rPr>
          <w:rFonts w:ascii="Garamond" w:hAnsi="Garamond"/>
          <w:szCs w:val="18"/>
          <w:lang w:val="en-US"/>
        </w:rPr>
      </w:pPr>
      <w:r w:rsidRPr="002904BC">
        <w:rPr>
          <w:rStyle w:val="FootnoteReference"/>
          <w:rFonts w:ascii="Garamond" w:hAnsi="Garamond"/>
          <w:sz w:val="18"/>
          <w:szCs w:val="18"/>
        </w:rPr>
        <w:footnoteRef/>
      </w:r>
      <w:r w:rsidRPr="002904BC">
        <w:rPr>
          <w:rFonts w:ascii="Garamond" w:hAnsi="Garamond"/>
          <w:szCs w:val="18"/>
        </w:rPr>
        <w:t xml:space="preserve"> VectorWorks Insight Series, Issue #2: is switching to continuous distribution worth it? April 2019</w:t>
      </w:r>
    </w:p>
    <w:p w14:paraId="550285E7" w14:textId="0353F6E5" w:rsidR="00E338B3" w:rsidRPr="00C960D9" w:rsidRDefault="00E338B3">
      <w:pPr>
        <w:pStyle w:val="FootnoteText"/>
        <w:rPr>
          <w:lang w:val="en-US"/>
        </w:rPr>
      </w:pPr>
    </w:p>
  </w:footnote>
  <w:footnote w:id="11">
    <w:p w14:paraId="1C22F78F" w14:textId="77777777" w:rsidR="00E338B3" w:rsidRPr="00846666" w:rsidRDefault="00E338B3" w:rsidP="00736F9B">
      <w:pPr>
        <w:pStyle w:val="FootnoteText"/>
        <w:ind w:left="0"/>
        <w:rPr>
          <w:rFonts w:ascii="Garamond" w:hAnsi="Garamond"/>
          <w:szCs w:val="18"/>
          <w:lang w:val="en-US"/>
        </w:rPr>
      </w:pPr>
      <w:r w:rsidRPr="00846666">
        <w:rPr>
          <w:rStyle w:val="FootnoteReference"/>
          <w:rFonts w:ascii="Garamond" w:hAnsi="Garamond"/>
          <w:sz w:val="18"/>
          <w:szCs w:val="18"/>
        </w:rPr>
        <w:footnoteRef/>
      </w:r>
      <w:r w:rsidRPr="00846666">
        <w:rPr>
          <w:rFonts w:ascii="Garamond" w:hAnsi="Garamond"/>
          <w:szCs w:val="18"/>
          <w:lang w:val="en-US"/>
        </w:rPr>
        <w:t xml:space="preserve"> continuousdistribution.org</w:t>
      </w:r>
    </w:p>
  </w:footnote>
  <w:footnote w:id="12">
    <w:p w14:paraId="634A1544" w14:textId="6B5E85F8" w:rsidR="00E338B3" w:rsidRPr="004D411A" w:rsidRDefault="00E338B3" w:rsidP="004D411A">
      <w:pPr>
        <w:rPr>
          <w:rFonts w:ascii="Garamond" w:hAnsi="Garamond"/>
          <w:sz w:val="16"/>
          <w:szCs w:val="16"/>
        </w:rPr>
      </w:pPr>
      <w:r w:rsidRPr="004D411A">
        <w:rPr>
          <w:rStyle w:val="FootnoteReference"/>
          <w:rFonts w:ascii="Garamond" w:hAnsi="Garamond"/>
          <w:szCs w:val="16"/>
        </w:rPr>
        <w:footnoteRef/>
      </w:r>
      <w:r w:rsidRPr="004D411A">
        <w:rPr>
          <w:rFonts w:ascii="Garamond" w:hAnsi="Garamond"/>
          <w:sz w:val="16"/>
          <w:szCs w:val="16"/>
        </w:rPr>
        <w:t xml:space="preserve"> Available at: </w:t>
      </w:r>
      <w:hyperlink r:id="rId3" w:history="1">
        <w:r w:rsidRPr="004D411A">
          <w:rPr>
            <w:rStyle w:val="Hyperlink"/>
            <w:rFonts w:ascii="Garamond" w:hAnsi="Garamond"/>
            <w:sz w:val="16"/>
            <w:szCs w:val="16"/>
          </w:rPr>
          <w:t>https://www.continuousdistribution.org/wp-content/uploads/2017/02/Health-Facility-based-LLIN-Distributions_Guide.pdf</w:t>
        </w:r>
      </w:hyperlink>
    </w:p>
  </w:footnote>
  <w:footnote w:id="13">
    <w:p w14:paraId="03D39DA1" w14:textId="0BC5AC78" w:rsidR="00E338B3" w:rsidRPr="004E5235" w:rsidRDefault="00E338B3" w:rsidP="004E5235">
      <w:pPr>
        <w:rPr>
          <w:rFonts w:ascii="Garamond" w:hAnsi="Garamond"/>
          <w:sz w:val="16"/>
          <w:szCs w:val="16"/>
        </w:rPr>
      </w:pPr>
      <w:r w:rsidRPr="004D411A">
        <w:rPr>
          <w:rStyle w:val="FootnoteReference"/>
          <w:rFonts w:ascii="Garamond" w:hAnsi="Garamond"/>
          <w:szCs w:val="16"/>
        </w:rPr>
        <w:footnoteRef/>
      </w:r>
      <w:r w:rsidRPr="004D411A">
        <w:rPr>
          <w:rFonts w:ascii="Garamond" w:hAnsi="Garamond"/>
          <w:sz w:val="16"/>
          <w:szCs w:val="16"/>
        </w:rPr>
        <w:t xml:space="preserve"> Available at: </w:t>
      </w:r>
      <w:hyperlink r:id="rId4" w:history="1">
        <w:r w:rsidRPr="004D411A">
          <w:rPr>
            <w:rStyle w:val="Hyperlink"/>
            <w:rFonts w:ascii="Garamond" w:hAnsi="Garamond"/>
            <w:sz w:val="16"/>
            <w:szCs w:val="16"/>
          </w:rPr>
          <w:t>https://www.continuousdistribution.org/wp-content/uploads/2016/12/Guide-to-continuous-distribution-of-LLINs_concepts-and-planning.pdf</w:t>
        </w:r>
      </w:hyperlink>
    </w:p>
  </w:footnote>
  <w:footnote w:id="14">
    <w:p w14:paraId="568A3DF9" w14:textId="77777777" w:rsidR="00E338B3" w:rsidRPr="004E5235" w:rsidRDefault="00E338B3" w:rsidP="004E5235">
      <w:pPr>
        <w:rPr>
          <w:rFonts w:ascii="Garamond" w:hAnsi="Garamond"/>
          <w:sz w:val="16"/>
          <w:szCs w:val="16"/>
        </w:rPr>
      </w:pPr>
      <w:r w:rsidRPr="004E5235">
        <w:rPr>
          <w:rStyle w:val="FootnoteReference"/>
          <w:rFonts w:ascii="Garamond" w:hAnsi="Garamond"/>
          <w:szCs w:val="16"/>
        </w:rPr>
        <w:footnoteRef/>
      </w:r>
      <w:r w:rsidRPr="004E5235">
        <w:rPr>
          <w:rFonts w:ascii="Garamond" w:hAnsi="Garamond"/>
          <w:sz w:val="16"/>
          <w:szCs w:val="16"/>
        </w:rPr>
        <w:t xml:space="preserve"> Available at: </w:t>
      </w:r>
      <w:hyperlink r:id="rId5" w:history="1">
        <w:r w:rsidRPr="004E5235">
          <w:rPr>
            <w:rStyle w:val="Hyperlink"/>
            <w:rFonts w:ascii="Garamond" w:hAnsi="Garamond"/>
            <w:sz w:val="16"/>
            <w:szCs w:val="16"/>
          </w:rPr>
          <w:t>https://breakthroughactionandresearch.org/resources/itn-use-and-access-report/</w:t>
        </w:r>
      </w:hyperlink>
    </w:p>
    <w:p w14:paraId="3F22E24A" w14:textId="10785852" w:rsidR="00E338B3" w:rsidRPr="004D411A" w:rsidRDefault="00E338B3" w:rsidP="004D411A">
      <w:pPr>
        <w:pStyle w:val="FootnoteText"/>
        <w:ind w:left="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A2E48" w14:textId="77777777" w:rsidR="00E338B3" w:rsidRDefault="00E338B3">
    <w:pPr>
      <w:jc w:val="right"/>
    </w:pPr>
    <w:r>
      <w:rPr>
        <w:noProof/>
      </w:rPr>
      <w:drawing>
        <wp:anchor distT="0" distB="0" distL="114300" distR="114300" simplePos="0" relativeHeight="251658240" behindDoc="1" locked="0" layoutInCell="1" allowOverlap="1" wp14:anchorId="66235EE4" wp14:editId="75FC3223">
          <wp:simplePos x="0" y="0"/>
          <wp:positionH relativeFrom="column">
            <wp:posOffset>-960120</wp:posOffset>
          </wp:positionH>
          <wp:positionV relativeFrom="paragraph">
            <wp:posOffset>-472440</wp:posOffset>
          </wp:positionV>
          <wp:extent cx="7838440" cy="101439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Work Plan-Technical Report backgroun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677" cy="101481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B8ED" w14:textId="77777777" w:rsidR="00E338B3" w:rsidRDefault="00E338B3">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09D8" w14:textId="77777777" w:rsidR="00E338B3" w:rsidRDefault="00E338B3">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592B" w14:textId="77777777" w:rsidR="00E338B3" w:rsidRDefault="00E338B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389"/>
    <w:multiLevelType w:val="hybridMultilevel"/>
    <w:tmpl w:val="69FEAE8E"/>
    <w:lvl w:ilvl="0" w:tplc="3E60792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2F86"/>
    <w:multiLevelType w:val="hybridMultilevel"/>
    <w:tmpl w:val="64BAC53C"/>
    <w:lvl w:ilvl="0" w:tplc="9CC26454">
      <w:start w:val="1"/>
      <w:numFmt w:val="bullet"/>
      <w:pStyle w:val="TableBullet"/>
      <w:lvlText w:val=""/>
      <w:lvlJc w:val="left"/>
      <w:pPr>
        <w:tabs>
          <w:tab w:val="num" w:pos="504"/>
        </w:tabs>
        <w:ind w:left="504" w:hanging="360"/>
      </w:pPr>
      <w:rPr>
        <w:rFonts w:ascii="Symbol" w:hAnsi="Symbol" w:hint="default"/>
        <w:b w:val="0"/>
        <w:i w:val="0"/>
        <w:color w:val="002A6C"/>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97420"/>
    <w:multiLevelType w:val="hybridMultilevel"/>
    <w:tmpl w:val="722C84BE"/>
    <w:lvl w:ilvl="0" w:tplc="55228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738DA"/>
    <w:multiLevelType w:val="hybridMultilevel"/>
    <w:tmpl w:val="DC0C77D6"/>
    <w:lvl w:ilvl="0" w:tplc="5BCACF64">
      <w:start w:val="1"/>
      <w:numFmt w:val="bullet"/>
      <w:lvlText w:val=""/>
      <w:lvlJc w:val="left"/>
      <w:pPr>
        <w:tabs>
          <w:tab w:val="num" w:pos="360"/>
        </w:tabs>
        <w:ind w:left="360" w:hanging="360"/>
      </w:pPr>
      <w:rPr>
        <w:rFonts w:ascii="Symbol" w:hAnsi="Symbol" w:hint="default"/>
        <w:color w:val="002A6C"/>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893056"/>
    <w:multiLevelType w:val="hybridMultilevel"/>
    <w:tmpl w:val="B05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C6623"/>
    <w:multiLevelType w:val="hybridMultilevel"/>
    <w:tmpl w:val="48E25EA8"/>
    <w:lvl w:ilvl="0" w:tplc="55228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2FD1"/>
    <w:multiLevelType w:val="hybridMultilevel"/>
    <w:tmpl w:val="590217DA"/>
    <w:lvl w:ilvl="0" w:tplc="04090001">
      <w:start w:val="1"/>
      <w:numFmt w:val="bullet"/>
      <w:lvlText w:val=""/>
      <w:lvlJc w:val="left"/>
      <w:pPr>
        <w:ind w:left="779" w:hanging="360"/>
      </w:pPr>
      <w:rPr>
        <w:rFonts w:ascii="Symbol" w:hAnsi="Symbol" w:cs="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cs="Wingdings" w:hint="default"/>
      </w:rPr>
    </w:lvl>
    <w:lvl w:ilvl="3" w:tplc="04090001" w:tentative="1">
      <w:start w:val="1"/>
      <w:numFmt w:val="bullet"/>
      <w:lvlText w:val=""/>
      <w:lvlJc w:val="left"/>
      <w:pPr>
        <w:ind w:left="2939" w:hanging="360"/>
      </w:pPr>
      <w:rPr>
        <w:rFonts w:ascii="Symbol" w:hAnsi="Symbol" w:cs="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cs="Wingdings" w:hint="default"/>
      </w:rPr>
    </w:lvl>
    <w:lvl w:ilvl="6" w:tplc="04090001" w:tentative="1">
      <w:start w:val="1"/>
      <w:numFmt w:val="bullet"/>
      <w:lvlText w:val=""/>
      <w:lvlJc w:val="left"/>
      <w:pPr>
        <w:ind w:left="5099" w:hanging="360"/>
      </w:pPr>
      <w:rPr>
        <w:rFonts w:ascii="Symbol" w:hAnsi="Symbol" w:cs="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cs="Wingdings" w:hint="default"/>
      </w:rPr>
    </w:lvl>
  </w:abstractNum>
  <w:abstractNum w:abstractNumId="7" w15:restartNumberingAfterBreak="0">
    <w:nsid w:val="2A0E030D"/>
    <w:multiLevelType w:val="multilevel"/>
    <w:tmpl w:val="63F2A70A"/>
    <w:lvl w:ilvl="0">
      <w:start w:val="1"/>
      <w:numFmt w:val="decimal"/>
      <w:pStyle w:val="Heading1"/>
      <w:lvlText w:val="%1."/>
      <w:lvlJc w:val="left"/>
      <w:pPr>
        <w:tabs>
          <w:tab w:val="num" w:pos="-144"/>
        </w:tabs>
        <w:ind w:left="-144" w:hanging="720"/>
      </w:pPr>
      <w:rPr>
        <w:rFonts w:ascii="Arial" w:hAnsi="Arial" w:cs="Arial" w:hint="default"/>
        <w:b w:val="0"/>
        <w:i w:val="0"/>
        <w:sz w:val="60"/>
      </w:rPr>
    </w:lvl>
    <w:lvl w:ilvl="1">
      <w:start w:val="1"/>
      <w:numFmt w:val="decimal"/>
      <w:pStyle w:val="Heading2"/>
      <w:lvlText w:val="%1.%2"/>
      <w:lvlJc w:val="left"/>
      <w:pPr>
        <w:tabs>
          <w:tab w:val="num" w:pos="0"/>
        </w:tabs>
        <w:ind w:left="0" w:hanging="864"/>
      </w:pPr>
      <w:rPr>
        <w:rFonts w:ascii="Arial" w:hAnsi="Arial" w:cs="Arial" w:hint="default"/>
        <w:b w:val="0"/>
        <w:bCs/>
        <w:i w:val="0"/>
        <w:sz w:val="32"/>
        <w:szCs w:val="32"/>
      </w:rPr>
    </w:lvl>
    <w:lvl w:ilvl="2">
      <w:start w:val="1"/>
      <w:numFmt w:val="decimal"/>
      <w:pStyle w:val="Heading3"/>
      <w:lvlText w:val="%1.%2.%3"/>
      <w:lvlJc w:val="left"/>
      <w:pPr>
        <w:tabs>
          <w:tab w:val="num" w:pos="864"/>
        </w:tabs>
        <w:ind w:left="864" w:hanging="864"/>
      </w:pPr>
      <w:rPr>
        <w:rFonts w:asciiTheme="minorBidi" w:hAnsiTheme="minorBidi" w:cstheme="minorBidi" w:hint="default"/>
        <w:b w:val="0"/>
        <w:bCs/>
        <w:i w:val="0"/>
        <w:sz w:val="28"/>
        <w:szCs w:val="28"/>
      </w:rPr>
    </w:lvl>
    <w:lvl w:ilvl="3">
      <w:start w:val="1"/>
      <w:numFmt w:val="decimal"/>
      <w:pStyle w:val="Heading4"/>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8" w15:restartNumberingAfterBreak="0">
    <w:nsid w:val="2AF779A2"/>
    <w:multiLevelType w:val="hybridMultilevel"/>
    <w:tmpl w:val="FA4A7D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DED0CE0"/>
    <w:multiLevelType w:val="hybridMultilevel"/>
    <w:tmpl w:val="60AABAEA"/>
    <w:lvl w:ilvl="0" w:tplc="1C52E6A0">
      <w:start w:val="1"/>
      <w:numFmt w:val="bullet"/>
      <w:lvlText w:val="-"/>
      <w:lvlJc w:val="left"/>
      <w:pPr>
        <w:tabs>
          <w:tab w:val="num" w:pos="720"/>
        </w:tabs>
        <w:ind w:left="720" w:hanging="360"/>
      </w:pPr>
      <w:rPr>
        <w:rFonts w:ascii="Times New Roman" w:hAnsi="Times New Roman" w:hint="default"/>
      </w:rPr>
    </w:lvl>
    <w:lvl w:ilvl="1" w:tplc="22405D6E" w:tentative="1">
      <w:start w:val="1"/>
      <w:numFmt w:val="bullet"/>
      <w:lvlText w:val="-"/>
      <w:lvlJc w:val="left"/>
      <w:pPr>
        <w:tabs>
          <w:tab w:val="num" w:pos="1440"/>
        </w:tabs>
        <w:ind w:left="1440" w:hanging="360"/>
      </w:pPr>
      <w:rPr>
        <w:rFonts w:ascii="Times New Roman" w:hAnsi="Times New Roman" w:hint="default"/>
      </w:rPr>
    </w:lvl>
    <w:lvl w:ilvl="2" w:tplc="C620694A" w:tentative="1">
      <w:start w:val="1"/>
      <w:numFmt w:val="bullet"/>
      <w:lvlText w:val="-"/>
      <w:lvlJc w:val="left"/>
      <w:pPr>
        <w:tabs>
          <w:tab w:val="num" w:pos="2160"/>
        </w:tabs>
        <w:ind w:left="2160" w:hanging="360"/>
      </w:pPr>
      <w:rPr>
        <w:rFonts w:ascii="Times New Roman" w:hAnsi="Times New Roman" w:hint="default"/>
      </w:rPr>
    </w:lvl>
    <w:lvl w:ilvl="3" w:tplc="C974E2E6" w:tentative="1">
      <w:start w:val="1"/>
      <w:numFmt w:val="bullet"/>
      <w:lvlText w:val="-"/>
      <w:lvlJc w:val="left"/>
      <w:pPr>
        <w:tabs>
          <w:tab w:val="num" w:pos="2880"/>
        </w:tabs>
        <w:ind w:left="2880" w:hanging="360"/>
      </w:pPr>
      <w:rPr>
        <w:rFonts w:ascii="Times New Roman" w:hAnsi="Times New Roman" w:hint="default"/>
      </w:rPr>
    </w:lvl>
    <w:lvl w:ilvl="4" w:tplc="21F8B21C" w:tentative="1">
      <w:start w:val="1"/>
      <w:numFmt w:val="bullet"/>
      <w:lvlText w:val="-"/>
      <w:lvlJc w:val="left"/>
      <w:pPr>
        <w:tabs>
          <w:tab w:val="num" w:pos="3600"/>
        </w:tabs>
        <w:ind w:left="3600" w:hanging="360"/>
      </w:pPr>
      <w:rPr>
        <w:rFonts w:ascii="Times New Roman" w:hAnsi="Times New Roman" w:hint="default"/>
      </w:rPr>
    </w:lvl>
    <w:lvl w:ilvl="5" w:tplc="77B8295C" w:tentative="1">
      <w:start w:val="1"/>
      <w:numFmt w:val="bullet"/>
      <w:lvlText w:val="-"/>
      <w:lvlJc w:val="left"/>
      <w:pPr>
        <w:tabs>
          <w:tab w:val="num" w:pos="4320"/>
        </w:tabs>
        <w:ind w:left="4320" w:hanging="360"/>
      </w:pPr>
      <w:rPr>
        <w:rFonts w:ascii="Times New Roman" w:hAnsi="Times New Roman" w:hint="default"/>
      </w:rPr>
    </w:lvl>
    <w:lvl w:ilvl="6" w:tplc="FF2288C8" w:tentative="1">
      <w:start w:val="1"/>
      <w:numFmt w:val="bullet"/>
      <w:lvlText w:val="-"/>
      <w:lvlJc w:val="left"/>
      <w:pPr>
        <w:tabs>
          <w:tab w:val="num" w:pos="5040"/>
        </w:tabs>
        <w:ind w:left="5040" w:hanging="360"/>
      </w:pPr>
      <w:rPr>
        <w:rFonts w:ascii="Times New Roman" w:hAnsi="Times New Roman" w:hint="default"/>
      </w:rPr>
    </w:lvl>
    <w:lvl w:ilvl="7" w:tplc="D778A33C" w:tentative="1">
      <w:start w:val="1"/>
      <w:numFmt w:val="bullet"/>
      <w:lvlText w:val="-"/>
      <w:lvlJc w:val="left"/>
      <w:pPr>
        <w:tabs>
          <w:tab w:val="num" w:pos="5760"/>
        </w:tabs>
        <w:ind w:left="5760" w:hanging="360"/>
      </w:pPr>
      <w:rPr>
        <w:rFonts w:ascii="Times New Roman" w:hAnsi="Times New Roman" w:hint="default"/>
      </w:rPr>
    </w:lvl>
    <w:lvl w:ilvl="8" w:tplc="CA8CF1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EBF21D3"/>
    <w:multiLevelType w:val="hybridMultilevel"/>
    <w:tmpl w:val="A2E6F31A"/>
    <w:lvl w:ilvl="0" w:tplc="55228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3E2054"/>
    <w:multiLevelType w:val="hybridMultilevel"/>
    <w:tmpl w:val="BF8CEC4E"/>
    <w:lvl w:ilvl="0" w:tplc="EC1C72F2">
      <w:start w:val="1"/>
      <w:numFmt w:val="bullet"/>
      <w:lvlText w:val=""/>
      <w:lvlJc w:val="left"/>
      <w:pPr>
        <w:ind w:left="720" w:hanging="360"/>
      </w:pPr>
      <w:rPr>
        <w:rFonts w:ascii="Symbol" w:hAnsi="Symbol" w:hint="default"/>
        <w:color w:val="002F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FF0868"/>
    <w:multiLevelType w:val="hybridMultilevel"/>
    <w:tmpl w:val="5FB0749C"/>
    <w:lvl w:ilvl="0" w:tplc="3E60792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70183"/>
    <w:multiLevelType w:val="hybridMultilevel"/>
    <w:tmpl w:val="51AEE0BC"/>
    <w:lvl w:ilvl="0" w:tplc="95FC57DE">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90468"/>
    <w:multiLevelType w:val="hybridMultilevel"/>
    <w:tmpl w:val="92007734"/>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E84"/>
    <w:multiLevelType w:val="hybridMultilevel"/>
    <w:tmpl w:val="6308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F69AB"/>
    <w:multiLevelType w:val="hybridMultilevel"/>
    <w:tmpl w:val="434C15E8"/>
    <w:lvl w:ilvl="0" w:tplc="552280A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272B5"/>
    <w:multiLevelType w:val="hybridMultilevel"/>
    <w:tmpl w:val="9228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C1E24"/>
    <w:multiLevelType w:val="multilevel"/>
    <w:tmpl w:val="765E92EE"/>
    <w:lvl w:ilvl="0">
      <w:start w:val="1"/>
      <w:numFmt w:val="bullet"/>
      <w:lvlRestart w:val="0"/>
      <w:lvlText w:val=""/>
      <w:lvlJc w:val="left"/>
      <w:pPr>
        <w:ind w:left="360" w:hanging="360"/>
      </w:pPr>
      <w:rPr>
        <w:rFonts w:ascii="Symbol" w:hAnsi="Symbol" w:hint="default"/>
        <w:color w:val="DA291C"/>
      </w:rPr>
    </w:lvl>
    <w:lvl w:ilvl="1">
      <w:start w:val="1"/>
      <w:numFmt w:val="bullet"/>
      <w:pStyle w:val="1-Bullet2"/>
      <w:lvlText w:val=""/>
      <w:lvlJc w:val="left"/>
      <w:pPr>
        <w:ind w:left="720" w:hanging="360"/>
      </w:pPr>
      <w:rPr>
        <w:rFonts w:ascii="Symbol" w:hAnsi="Symbol" w:hint="default"/>
        <w:color w:val="002F6C"/>
        <w:sz w:val="20"/>
        <w:szCs w:val="24"/>
      </w:rPr>
    </w:lvl>
    <w:lvl w:ilvl="2">
      <w:start w:val="1"/>
      <w:numFmt w:val="bullet"/>
      <w:lvlText w:val="§"/>
      <w:lvlJc w:val="left"/>
      <w:pPr>
        <w:ind w:left="1080" w:hanging="360"/>
      </w:pPr>
      <w:rPr>
        <w:rFonts w:ascii="Wingdings" w:hAnsi="Wingdings" w:hint="default"/>
        <w:color w:val="auto"/>
      </w:rPr>
    </w:lvl>
    <w:lvl w:ilvl="3">
      <w:start w:val="1"/>
      <w:numFmt w:val="none"/>
      <w:suff w:val="nothing"/>
      <w:lvlText w:val=""/>
      <w:lvlJc w:val="left"/>
      <w:pPr>
        <w:ind w:left="0" w:firstLine="0"/>
      </w:pPr>
    </w:lvl>
    <w:lvl w:ilvl="4">
      <w:start w:val="1"/>
      <w:numFmt w:val="none"/>
      <w:suff w:val="nothing"/>
      <w:lvlText w:val=""/>
      <w:lvlJc w:val="left"/>
      <w:pPr>
        <w:ind w:left="720" w:hanging="720"/>
      </w:pPr>
    </w:lvl>
    <w:lvl w:ilvl="5">
      <w:start w:val="1"/>
      <w:numFmt w:val="none"/>
      <w:suff w:val="nothing"/>
      <w:lvlText w:val=""/>
      <w:lvlJc w:val="left"/>
      <w:pPr>
        <w:ind w:left="720" w:hanging="720"/>
      </w:pPr>
    </w:lvl>
    <w:lvl w:ilvl="6">
      <w:start w:val="1"/>
      <w:numFmt w:val="none"/>
      <w:suff w:val="nothing"/>
      <w:lvlText w:val=""/>
      <w:lvlJc w:val="left"/>
      <w:pPr>
        <w:ind w:left="720" w:hanging="720"/>
      </w:pPr>
    </w:lvl>
    <w:lvl w:ilvl="7">
      <w:start w:val="1"/>
      <w:numFmt w:val="none"/>
      <w:suff w:val="nothing"/>
      <w:lvlText w:val=""/>
      <w:lvlJc w:val="left"/>
      <w:pPr>
        <w:ind w:left="720" w:hanging="720"/>
      </w:pPr>
    </w:lvl>
    <w:lvl w:ilvl="8">
      <w:start w:val="1"/>
      <w:numFmt w:val="none"/>
      <w:suff w:val="nothing"/>
      <w:lvlText w:val=""/>
      <w:lvlJc w:val="left"/>
      <w:pPr>
        <w:ind w:left="720" w:hanging="720"/>
      </w:pPr>
    </w:lvl>
  </w:abstractNum>
  <w:abstractNum w:abstractNumId="19" w15:restartNumberingAfterBreak="0">
    <w:nsid w:val="497125AA"/>
    <w:multiLevelType w:val="hybridMultilevel"/>
    <w:tmpl w:val="37F29310"/>
    <w:lvl w:ilvl="0" w:tplc="3E607928">
      <w:numFmt w:val="bullet"/>
      <w:lvlText w:val=""/>
      <w:lvlJc w:val="left"/>
      <w:pPr>
        <w:ind w:left="720" w:hanging="360"/>
      </w:pPr>
      <w:rPr>
        <w:rFonts w:ascii="Symbol" w:eastAsiaTheme="minorHAnsi" w:hAnsi="Symbol" w:cstheme="minorBid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F4265"/>
    <w:multiLevelType w:val="hybridMultilevel"/>
    <w:tmpl w:val="C7A48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F84DD7"/>
    <w:multiLevelType w:val="hybridMultilevel"/>
    <w:tmpl w:val="E77C3B04"/>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43372"/>
    <w:multiLevelType w:val="hybridMultilevel"/>
    <w:tmpl w:val="8E8C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D0EBF"/>
    <w:multiLevelType w:val="singleLevel"/>
    <w:tmpl w:val="0DAE48AE"/>
    <w:lvl w:ilvl="0">
      <w:start w:val="1"/>
      <w:numFmt w:val="bullet"/>
      <w:pStyle w:val="Figurebullet"/>
      <w:lvlText w:val=""/>
      <w:lvlJc w:val="left"/>
      <w:pPr>
        <w:tabs>
          <w:tab w:val="num" w:pos="360"/>
        </w:tabs>
        <w:ind w:left="360" w:hanging="360"/>
      </w:pPr>
      <w:rPr>
        <w:rFonts w:ascii="Symbol" w:hAnsi="Symbol" w:hint="default"/>
      </w:rPr>
    </w:lvl>
  </w:abstractNum>
  <w:abstractNum w:abstractNumId="24" w15:restartNumberingAfterBreak="0">
    <w:nsid w:val="552942EC"/>
    <w:multiLevelType w:val="hybridMultilevel"/>
    <w:tmpl w:val="4F10A608"/>
    <w:lvl w:ilvl="0" w:tplc="CF94DE5E">
      <w:start w:val="1"/>
      <w:numFmt w:val="bullet"/>
      <w:lvlText w:val=""/>
      <w:lvlJc w:val="left"/>
      <w:pPr>
        <w:tabs>
          <w:tab w:val="num" w:pos="1080"/>
        </w:tabs>
        <w:ind w:left="1080" w:hanging="360"/>
      </w:pPr>
      <w:rPr>
        <w:rFonts w:ascii="Symbol" w:hAnsi="Symbol" w:hint="default"/>
        <w:color w:val="C2113A"/>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69E3738"/>
    <w:multiLevelType w:val="hybridMultilevel"/>
    <w:tmpl w:val="61D8F6A0"/>
    <w:lvl w:ilvl="0" w:tplc="95FC57DE">
      <w:start w:val="1"/>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9133A"/>
    <w:multiLevelType w:val="hybridMultilevel"/>
    <w:tmpl w:val="76DEAA16"/>
    <w:lvl w:ilvl="0" w:tplc="552280A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C210A"/>
    <w:multiLevelType w:val="hybridMultilevel"/>
    <w:tmpl w:val="73FAC2AA"/>
    <w:lvl w:ilvl="0" w:tplc="3E6079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845A0"/>
    <w:multiLevelType w:val="multilevel"/>
    <w:tmpl w:val="A93016D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9F7A2A"/>
    <w:multiLevelType w:val="hybridMultilevel"/>
    <w:tmpl w:val="DF60E29A"/>
    <w:lvl w:ilvl="0" w:tplc="55228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3426E54"/>
    <w:multiLevelType w:val="multilevel"/>
    <w:tmpl w:val="CC440080"/>
    <w:lvl w:ilvl="0">
      <w:start w:val="1"/>
      <w:numFmt w:val="bullet"/>
      <w:pStyle w:val="1-Bullet"/>
      <w:lvlText w:val=""/>
      <w:lvlJc w:val="left"/>
      <w:pPr>
        <w:ind w:left="360" w:hanging="360"/>
      </w:pPr>
      <w:rPr>
        <w:rFonts w:ascii="Symbol" w:hAnsi="Symbol" w:hint="default"/>
        <w:b w:val="0"/>
        <w:bCs w:val="0"/>
        <w:color w:val="002F6C"/>
        <w:sz w:val="20"/>
        <w:szCs w:val="24"/>
      </w:rPr>
    </w:lvl>
    <w:lvl w:ilvl="1">
      <w:start w:val="1"/>
      <w:numFmt w:val="bullet"/>
      <w:lvlText w:val="˗"/>
      <w:lvlJc w:val="left"/>
      <w:pPr>
        <w:ind w:left="720" w:hanging="360"/>
      </w:pPr>
      <w:rPr>
        <w:rFonts w:ascii="Arial" w:hAnsi="Arial" w:cs="Arial"/>
        <w:color w:val="auto"/>
      </w:rPr>
    </w:lvl>
    <w:lvl w:ilvl="2">
      <w:start w:val="1"/>
      <w:numFmt w:val="bullet"/>
      <w:lvlText w:val="§"/>
      <w:lvlJc w:val="left"/>
      <w:pPr>
        <w:ind w:left="1080" w:hanging="360"/>
      </w:pPr>
      <w:rPr>
        <w:rFonts w:ascii="Wingdings" w:hAnsi="Wingdings" w:hint="default"/>
        <w:color w:val="auto"/>
      </w:rPr>
    </w:lvl>
    <w:lvl w:ilvl="3">
      <w:start w:val="1"/>
      <w:numFmt w:val="none"/>
      <w:suff w:val="nothing"/>
      <w:lvlText w:val=""/>
      <w:lvlJc w:val="left"/>
      <w:pPr>
        <w:ind w:left="0" w:firstLine="0"/>
      </w:pPr>
    </w:lvl>
    <w:lvl w:ilvl="4">
      <w:start w:val="1"/>
      <w:numFmt w:val="none"/>
      <w:suff w:val="nothing"/>
      <w:lvlText w:val=""/>
      <w:lvlJc w:val="left"/>
      <w:pPr>
        <w:ind w:left="720" w:hanging="720"/>
      </w:pPr>
    </w:lvl>
    <w:lvl w:ilvl="5">
      <w:start w:val="1"/>
      <w:numFmt w:val="none"/>
      <w:suff w:val="nothing"/>
      <w:lvlText w:val=""/>
      <w:lvlJc w:val="left"/>
      <w:pPr>
        <w:ind w:left="720" w:hanging="720"/>
      </w:pPr>
    </w:lvl>
    <w:lvl w:ilvl="6">
      <w:start w:val="1"/>
      <w:numFmt w:val="none"/>
      <w:suff w:val="nothing"/>
      <w:lvlText w:val=""/>
      <w:lvlJc w:val="left"/>
      <w:pPr>
        <w:ind w:left="720" w:hanging="720"/>
      </w:pPr>
    </w:lvl>
    <w:lvl w:ilvl="7">
      <w:start w:val="1"/>
      <w:numFmt w:val="none"/>
      <w:suff w:val="nothing"/>
      <w:lvlText w:val=""/>
      <w:lvlJc w:val="left"/>
      <w:pPr>
        <w:ind w:left="720" w:hanging="720"/>
      </w:pPr>
    </w:lvl>
    <w:lvl w:ilvl="8">
      <w:start w:val="1"/>
      <w:numFmt w:val="none"/>
      <w:suff w:val="nothing"/>
      <w:lvlText w:val=""/>
      <w:lvlJc w:val="left"/>
      <w:pPr>
        <w:ind w:left="720" w:hanging="720"/>
      </w:pPr>
    </w:lvl>
  </w:abstractNum>
  <w:abstractNum w:abstractNumId="31" w15:restartNumberingAfterBreak="0">
    <w:nsid w:val="74B81A83"/>
    <w:multiLevelType w:val="hybridMultilevel"/>
    <w:tmpl w:val="ADF2900C"/>
    <w:lvl w:ilvl="0" w:tplc="552280A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33104"/>
    <w:multiLevelType w:val="hybridMultilevel"/>
    <w:tmpl w:val="20A4934C"/>
    <w:lvl w:ilvl="0" w:tplc="552280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86913ED"/>
    <w:multiLevelType w:val="hybridMultilevel"/>
    <w:tmpl w:val="06FA2574"/>
    <w:lvl w:ilvl="0" w:tplc="D876BFC2">
      <w:numFmt w:val="bullet"/>
      <w:lvlText w:val="-"/>
      <w:lvlJc w:val="left"/>
      <w:pPr>
        <w:ind w:left="720" w:hanging="360"/>
      </w:pPr>
      <w:rPr>
        <w:rFonts w:ascii="Garamond" w:eastAsia="Garamond" w:hAnsi="Garamond"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
  </w:num>
  <w:num w:numId="4">
    <w:abstractNumId w:val="24"/>
  </w:num>
  <w:num w:numId="5">
    <w:abstractNumId w:val="3"/>
  </w:num>
  <w:num w:numId="6">
    <w:abstractNumId w:val="9"/>
  </w:num>
  <w:num w:numId="7">
    <w:abstractNumId w:val="28"/>
  </w:num>
  <w:num w:numId="8">
    <w:abstractNumId w:val="6"/>
  </w:num>
  <w:num w:numId="9">
    <w:abstractNumId w:val="10"/>
  </w:num>
  <w:num w:numId="10">
    <w:abstractNumId w:val="22"/>
  </w:num>
  <w:num w:numId="11">
    <w:abstractNumId w:val="29"/>
  </w:num>
  <w:num w:numId="12">
    <w:abstractNumId w:val="32"/>
  </w:num>
  <w:num w:numId="13">
    <w:abstractNumId w:val="20"/>
  </w:num>
  <w:num w:numId="14">
    <w:abstractNumId w:val="27"/>
  </w:num>
  <w:num w:numId="15">
    <w:abstractNumId w:val="11"/>
  </w:num>
  <w:num w:numId="16">
    <w:abstractNumId w:val="5"/>
  </w:num>
  <w:num w:numId="17">
    <w:abstractNumId w:val="12"/>
  </w:num>
  <w:num w:numId="18">
    <w:abstractNumId w:val="2"/>
  </w:num>
  <w:num w:numId="19">
    <w:abstractNumId w:val="0"/>
  </w:num>
  <w:num w:numId="20">
    <w:abstractNumId w:val="33"/>
  </w:num>
  <w:num w:numId="21">
    <w:abstractNumId w:val="26"/>
  </w:num>
  <w:num w:numId="22">
    <w:abstractNumId w:val="16"/>
  </w:num>
  <w:num w:numId="23">
    <w:abstractNumId w:val="31"/>
  </w:num>
  <w:num w:numId="24">
    <w:abstractNumId w:val="21"/>
  </w:num>
  <w:num w:numId="25">
    <w:abstractNumId w:val="14"/>
  </w:num>
  <w:num w:numId="26">
    <w:abstractNumId w:val="19"/>
  </w:num>
  <w:num w:numId="27">
    <w:abstractNumId w:val="15"/>
  </w:num>
  <w:num w:numId="28">
    <w:abstractNumId w:val="13"/>
  </w:num>
  <w:num w:numId="29">
    <w:abstractNumId w:val="4"/>
  </w:num>
  <w:num w:numId="30">
    <w:abstractNumId w:val="17"/>
  </w:num>
  <w:num w:numId="31">
    <w:abstractNumId w:val="8"/>
  </w:num>
  <w:num w:numId="32">
    <w:abstractNumId w:val="30"/>
  </w:num>
  <w:num w:numId="33">
    <w:abstractNumId w:val="18"/>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mirrorMargin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20"/>
    <w:rsid w:val="00002114"/>
    <w:rsid w:val="000058EC"/>
    <w:rsid w:val="000071F4"/>
    <w:rsid w:val="000074EA"/>
    <w:rsid w:val="00010406"/>
    <w:rsid w:val="0001056A"/>
    <w:rsid w:val="00011975"/>
    <w:rsid w:val="000128FE"/>
    <w:rsid w:val="0001499E"/>
    <w:rsid w:val="00015F5E"/>
    <w:rsid w:val="00017A5A"/>
    <w:rsid w:val="00023754"/>
    <w:rsid w:val="00023CFF"/>
    <w:rsid w:val="00023FA7"/>
    <w:rsid w:val="00023FC9"/>
    <w:rsid w:val="000241DE"/>
    <w:rsid w:val="00026446"/>
    <w:rsid w:val="000267A7"/>
    <w:rsid w:val="000267F1"/>
    <w:rsid w:val="00027754"/>
    <w:rsid w:val="000300F0"/>
    <w:rsid w:val="00032181"/>
    <w:rsid w:val="0003352A"/>
    <w:rsid w:val="00036F27"/>
    <w:rsid w:val="000377BD"/>
    <w:rsid w:val="0004302D"/>
    <w:rsid w:val="00044A19"/>
    <w:rsid w:val="00044EE8"/>
    <w:rsid w:val="00045258"/>
    <w:rsid w:val="00046EC3"/>
    <w:rsid w:val="000479C6"/>
    <w:rsid w:val="00047D8F"/>
    <w:rsid w:val="00052325"/>
    <w:rsid w:val="00054FC4"/>
    <w:rsid w:val="00056B62"/>
    <w:rsid w:val="0006123B"/>
    <w:rsid w:val="00061B00"/>
    <w:rsid w:val="00062739"/>
    <w:rsid w:val="00063196"/>
    <w:rsid w:val="000638BD"/>
    <w:rsid w:val="0006532E"/>
    <w:rsid w:val="000659B2"/>
    <w:rsid w:val="000663E2"/>
    <w:rsid w:val="000679C2"/>
    <w:rsid w:val="0007033A"/>
    <w:rsid w:val="00073819"/>
    <w:rsid w:val="00074021"/>
    <w:rsid w:val="000742CF"/>
    <w:rsid w:val="000778FA"/>
    <w:rsid w:val="00081A33"/>
    <w:rsid w:val="00082F39"/>
    <w:rsid w:val="0008380D"/>
    <w:rsid w:val="00084267"/>
    <w:rsid w:val="00084B60"/>
    <w:rsid w:val="00085112"/>
    <w:rsid w:val="00085EBE"/>
    <w:rsid w:val="0009109C"/>
    <w:rsid w:val="00092AE9"/>
    <w:rsid w:val="00093B3E"/>
    <w:rsid w:val="000944AA"/>
    <w:rsid w:val="0009678F"/>
    <w:rsid w:val="000A030E"/>
    <w:rsid w:val="000A0C50"/>
    <w:rsid w:val="000A346C"/>
    <w:rsid w:val="000A4063"/>
    <w:rsid w:val="000A7775"/>
    <w:rsid w:val="000B12B6"/>
    <w:rsid w:val="000B1C11"/>
    <w:rsid w:val="000B291B"/>
    <w:rsid w:val="000B4842"/>
    <w:rsid w:val="000B5926"/>
    <w:rsid w:val="000B5F84"/>
    <w:rsid w:val="000C00EA"/>
    <w:rsid w:val="000C2152"/>
    <w:rsid w:val="000C3699"/>
    <w:rsid w:val="000C45BE"/>
    <w:rsid w:val="000C51E7"/>
    <w:rsid w:val="000D2B2B"/>
    <w:rsid w:val="000D3282"/>
    <w:rsid w:val="000D37A8"/>
    <w:rsid w:val="000D4CF2"/>
    <w:rsid w:val="000D4E2F"/>
    <w:rsid w:val="000D7342"/>
    <w:rsid w:val="000E0D2C"/>
    <w:rsid w:val="000E1696"/>
    <w:rsid w:val="000E1D10"/>
    <w:rsid w:val="000E5F11"/>
    <w:rsid w:val="000E673D"/>
    <w:rsid w:val="000F07B5"/>
    <w:rsid w:val="000F0CF5"/>
    <w:rsid w:val="000F322B"/>
    <w:rsid w:val="000F56B4"/>
    <w:rsid w:val="000F6093"/>
    <w:rsid w:val="000F639F"/>
    <w:rsid w:val="001018E7"/>
    <w:rsid w:val="00102EB3"/>
    <w:rsid w:val="001032DD"/>
    <w:rsid w:val="00104B93"/>
    <w:rsid w:val="001058B7"/>
    <w:rsid w:val="00111AF1"/>
    <w:rsid w:val="0011313F"/>
    <w:rsid w:val="0011484F"/>
    <w:rsid w:val="00114DC9"/>
    <w:rsid w:val="001150EE"/>
    <w:rsid w:val="00115600"/>
    <w:rsid w:val="00116626"/>
    <w:rsid w:val="001167A3"/>
    <w:rsid w:val="00117134"/>
    <w:rsid w:val="00120D8F"/>
    <w:rsid w:val="001271FD"/>
    <w:rsid w:val="001324D5"/>
    <w:rsid w:val="001330C9"/>
    <w:rsid w:val="0013341A"/>
    <w:rsid w:val="00135EDC"/>
    <w:rsid w:val="001407F8"/>
    <w:rsid w:val="00140A81"/>
    <w:rsid w:val="00140B04"/>
    <w:rsid w:val="0014208D"/>
    <w:rsid w:val="001423F0"/>
    <w:rsid w:val="0014242E"/>
    <w:rsid w:val="0014513A"/>
    <w:rsid w:val="00147C8B"/>
    <w:rsid w:val="00150401"/>
    <w:rsid w:val="00150E2D"/>
    <w:rsid w:val="00151A2E"/>
    <w:rsid w:val="00151FF7"/>
    <w:rsid w:val="0015254E"/>
    <w:rsid w:val="00152BFA"/>
    <w:rsid w:val="00152D2E"/>
    <w:rsid w:val="00155254"/>
    <w:rsid w:val="00155270"/>
    <w:rsid w:val="00155CB2"/>
    <w:rsid w:val="0015669C"/>
    <w:rsid w:val="001624C7"/>
    <w:rsid w:val="0016351D"/>
    <w:rsid w:val="0016682F"/>
    <w:rsid w:val="00167545"/>
    <w:rsid w:val="0016799A"/>
    <w:rsid w:val="001710AB"/>
    <w:rsid w:val="00172992"/>
    <w:rsid w:val="001757A0"/>
    <w:rsid w:val="00175B50"/>
    <w:rsid w:val="0017657F"/>
    <w:rsid w:val="001803A6"/>
    <w:rsid w:val="00192711"/>
    <w:rsid w:val="00193B5B"/>
    <w:rsid w:val="001949A5"/>
    <w:rsid w:val="00197714"/>
    <w:rsid w:val="001A058C"/>
    <w:rsid w:val="001A1680"/>
    <w:rsid w:val="001A29A0"/>
    <w:rsid w:val="001B679B"/>
    <w:rsid w:val="001B7C3E"/>
    <w:rsid w:val="001C19DD"/>
    <w:rsid w:val="001C2E06"/>
    <w:rsid w:val="001C38F4"/>
    <w:rsid w:val="001C4453"/>
    <w:rsid w:val="001C4D4A"/>
    <w:rsid w:val="001C5304"/>
    <w:rsid w:val="001C5E15"/>
    <w:rsid w:val="001C67B3"/>
    <w:rsid w:val="001D0069"/>
    <w:rsid w:val="001D2CFC"/>
    <w:rsid w:val="001D347D"/>
    <w:rsid w:val="001D3521"/>
    <w:rsid w:val="001D3F0A"/>
    <w:rsid w:val="001D50C5"/>
    <w:rsid w:val="001D5DD3"/>
    <w:rsid w:val="001E0B2B"/>
    <w:rsid w:val="001E1322"/>
    <w:rsid w:val="001E6676"/>
    <w:rsid w:val="001F13E8"/>
    <w:rsid w:val="001F4433"/>
    <w:rsid w:val="001F63C8"/>
    <w:rsid w:val="001F6D57"/>
    <w:rsid w:val="00200F40"/>
    <w:rsid w:val="00201453"/>
    <w:rsid w:val="00202406"/>
    <w:rsid w:val="00203878"/>
    <w:rsid w:val="00203AF8"/>
    <w:rsid w:val="00211C42"/>
    <w:rsid w:val="00215532"/>
    <w:rsid w:val="0022064B"/>
    <w:rsid w:val="00220AB8"/>
    <w:rsid w:val="00220B5F"/>
    <w:rsid w:val="0022182F"/>
    <w:rsid w:val="00222B64"/>
    <w:rsid w:val="00225A39"/>
    <w:rsid w:val="00226670"/>
    <w:rsid w:val="0023079E"/>
    <w:rsid w:val="00234E1A"/>
    <w:rsid w:val="0023619E"/>
    <w:rsid w:val="00241994"/>
    <w:rsid w:val="0024230F"/>
    <w:rsid w:val="00243DBA"/>
    <w:rsid w:val="002463D5"/>
    <w:rsid w:val="00250314"/>
    <w:rsid w:val="00250C88"/>
    <w:rsid w:val="00250E1C"/>
    <w:rsid w:val="00252BE7"/>
    <w:rsid w:val="0025341C"/>
    <w:rsid w:val="00255422"/>
    <w:rsid w:val="00256A5C"/>
    <w:rsid w:val="00256CE2"/>
    <w:rsid w:val="00257F09"/>
    <w:rsid w:val="00260A0C"/>
    <w:rsid w:val="00261F44"/>
    <w:rsid w:val="00263DF8"/>
    <w:rsid w:val="00265780"/>
    <w:rsid w:val="0027261B"/>
    <w:rsid w:val="00273E76"/>
    <w:rsid w:val="00274A65"/>
    <w:rsid w:val="00274C55"/>
    <w:rsid w:val="00281F30"/>
    <w:rsid w:val="0028299A"/>
    <w:rsid w:val="00283298"/>
    <w:rsid w:val="002858B8"/>
    <w:rsid w:val="00286539"/>
    <w:rsid w:val="002904BC"/>
    <w:rsid w:val="00292C6C"/>
    <w:rsid w:val="002938AE"/>
    <w:rsid w:val="00293D46"/>
    <w:rsid w:val="00295CF9"/>
    <w:rsid w:val="002A1AD8"/>
    <w:rsid w:val="002A1C04"/>
    <w:rsid w:val="002A721A"/>
    <w:rsid w:val="002A7F19"/>
    <w:rsid w:val="002B00A7"/>
    <w:rsid w:val="002B3C57"/>
    <w:rsid w:val="002B45BF"/>
    <w:rsid w:val="002B7742"/>
    <w:rsid w:val="002C003E"/>
    <w:rsid w:val="002C01B9"/>
    <w:rsid w:val="002C1C2F"/>
    <w:rsid w:val="002C4A03"/>
    <w:rsid w:val="002C6A6E"/>
    <w:rsid w:val="002C7628"/>
    <w:rsid w:val="002C7D76"/>
    <w:rsid w:val="002D14F1"/>
    <w:rsid w:val="002D217A"/>
    <w:rsid w:val="002D32F7"/>
    <w:rsid w:val="002D7D37"/>
    <w:rsid w:val="002E0B94"/>
    <w:rsid w:val="002E10D6"/>
    <w:rsid w:val="002E21A0"/>
    <w:rsid w:val="002E3323"/>
    <w:rsid w:val="002E573D"/>
    <w:rsid w:val="002E5A3C"/>
    <w:rsid w:val="002E6DBD"/>
    <w:rsid w:val="002F022E"/>
    <w:rsid w:val="002F29C2"/>
    <w:rsid w:val="002F3D2C"/>
    <w:rsid w:val="002F5074"/>
    <w:rsid w:val="002F6742"/>
    <w:rsid w:val="002F7119"/>
    <w:rsid w:val="002F73F3"/>
    <w:rsid w:val="0030336E"/>
    <w:rsid w:val="00304A84"/>
    <w:rsid w:val="0030794A"/>
    <w:rsid w:val="00310F0B"/>
    <w:rsid w:val="00311204"/>
    <w:rsid w:val="00312EA0"/>
    <w:rsid w:val="00314ADD"/>
    <w:rsid w:val="00316D0A"/>
    <w:rsid w:val="00321DF3"/>
    <w:rsid w:val="00322113"/>
    <w:rsid w:val="00322C0B"/>
    <w:rsid w:val="00325ACD"/>
    <w:rsid w:val="003261DA"/>
    <w:rsid w:val="0033081D"/>
    <w:rsid w:val="003366D6"/>
    <w:rsid w:val="003372BE"/>
    <w:rsid w:val="00342C25"/>
    <w:rsid w:val="00344DCF"/>
    <w:rsid w:val="003472FB"/>
    <w:rsid w:val="00354020"/>
    <w:rsid w:val="00356DF7"/>
    <w:rsid w:val="00364BC8"/>
    <w:rsid w:val="003669EB"/>
    <w:rsid w:val="00366D09"/>
    <w:rsid w:val="00371686"/>
    <w:rsid w:val="00373B00"/>
    <w:rsid w:val="00376A48"/>
    <w:rsid w:val="00377590"/>
    <w:rsid w:val="00380510"/>
    <w:rsid w:val="00382C81"/>
    <w:rsid w:val="0038378A"/>
    <w:rsid w:val="003838E6"/>
    <w:rsid w:val="00383B7D"/>
    <w:rsid w:val="0038433D"/>
    <w:rsid w:val="00385FDF"/>
    <w:rsid w:val="00386C3E"/>
    <w:rsid w:val="00386D80"/>
    <w:rsid w:val="003876E9"/>
    <w:rsid w:val="003911F4"/>
    <w:rsid w:val="00393AF4"/>
    <w:rsid w:val="00395E76"/>
    <w:rsid w:val="00396FA3"/>
    <w:rsid w:val="0039775C"/>
    <w:rsid w:val="003A19C5"/>
    <w:rsid w:val="003A249E"/>
    <w:rsid w:val="003A35BF"/>
    <w:rsid w:val="003A4063"/>
    <w:rsid w:val="003A4938"/>
    <w:rsid w:val="003A4BD3"/>
    <w:rsid w:val="003A5CBD"/>
    <w:rsid w:val="003A6AB8"/>
    <w:rsid w:val="003B123C"/>
    <w:rsid w:val="003B175C"/>
    <w:rsid w:val="003B6411"/>
    <w:rsid w:val="003C16CE"/>
    <w:rsid w:val="003C4319"/>
    <w:rsid w:val="003C56D8"/>
    <w:rsid w:val="003C7157"/>
    <w:rsid w:val="003D194D"/>
    <w:rsid w:val="003D2157"/>
    <w:rsid w:val="003D3107"/>
    <w:rsid w:val="003D39A8"/>
    <w:rsid w:val="003D3FC2"/>
    <w:rsid w:val="003D6B6E"/>
    <w:rsid w:val="003D71D0"/>
    <w:rsid w:val="003D786B"/>
    <w:rsid w:val="003D7F5B"/>
    <w:rsid w:val="003E1273"/>
    <w:rsid w:val="003E54C9"/>
    <w:rsid w:val="003E5E56"/>
    <w:rsid w:val="003F12BC"/>
    <w:rsid w:val="003F1B6A"/>
    <w:rsid w:val="003F3F3B"/>
    <w:rsid w:val="003F64D9"/>
    <w:rsid w:val="003F67CC"/>
    <w:rsid w:val="003F71AA"/>
    <w:rsid w:val="0040008D"/>
    <w:rsid w:val="004010C5"/>
    <w:rsid w:val="00401188"/>
    <w:rsid w:val="004016E3"/>
    <w:rsid w:val="00401A15"/>
    <w:rsid w:val="0040237B"/>
    <w:rsid w:val="00403455"/>
    <w:rsid w:val="004039B9"/>
    <w:rsid w:val="00406011"/>
    <w:rsid w:val="004064D3"/>
    <w:rsid w:val="00406D85"/>
    <w:rsid w:val="00407679"/>
    <w:rsid w:val="0041038B"/>
    <w:rsid w:val="00412784"/>
    <w:rsid w:val="00414A65"/>
    <w:rsid w:val="0041536E"/>
    <w:rsid w:val="00415A82"/>
    <w:rsid w:val="00415CDF"/>
    <w:rsid w:val="00417C0E"/>
    <w:rsid w:val="004206AE"/>
    <w:rsid w:val="0042395C"/>
    <w:rsid w:val="00424DA6"/>
    <w:rsid w:val="004261E7"/>
    <w:rsid w:val="00426364"/>
    <w:rsid w:val="00426627"/>
    <w:rsid w:val="004267C8"/>
    <w:rsid w:val="00426B50"/>
    <w:rsid w:val="0043280E"/>
    <w:rsid w:val="00434526"/>
    <w:rsid w:val="00435138"/>
    <w:rsid w:val="0043719B"/>
    <w:rsid w:val="0043757D"/>
    <w:rsid w:val="00437930"/>
    <w:rsid w:val="00437E9E"/>
    <w:rsid w:val="00440F66"/>
    <w:rsid w:val="00442230"/>
    <w:rsid w:val="004458C9"/>
    <w:rsid w:val="004460BB"/>
    <w:rsid w:val="00446F1A"/>
    <w:rsid w:val="00446FAC"/>
    <w:rsid w:val="004472B5"/>
    <w:rsid w:val="00450733"/>
    <w:rsid w:val="004518A1"/>
    <w:rsid w:val="00452473"/>
    <w:rsid w:val="0045357E"/>
    <w:rsid w:val="0045441B"/>
    <w:rsid w:val="00455491"/>
    <w:rsid w:val="00460646"/>
    <w:rsid w:val="0046086C"/>
    <w:rsid w:val="00460BA9"/>
    <w:rsid w:val="00462EE2"/>
    <w:rsid w:val="00462FB0"/>
    <w:rsid w:val="00463CE9"/>
    <w:rsid w:val="00465167"/>
    <w:rsid w:val="004652D9"/>
    <w:rsid w:val="0046568B"/>
    <w:rsid w:val="004658E8"/>
    <w:rsid w:val="004662BD"/>
    <w:rsid w:val="00466766"/>
    <w:rsid w:val="00467A6E"/>
    <w:rsid w:val="00470436"/>
    <w:rsid w:val="00474902"/>
    <w:rsid w:val="00474E2F"/>
    <w:rsid w:val="00475A32"/>
    <w:rsid w:val="00477213"/>
    <w:rsid w:val="004805B8"/>
    <w:rsid w:val="004851EE"/>
    <w:rsid w:val="00485598"/>
    <w:rsid w:val="00487EE8"/>
    <w:rsid w:val="00491239"/>
    <w:rsid w:val="004920CC"/>
    <w:rsid w:val="00493383"/>
    <w:rsid w:val="004938A2"/>
    <w:rsid w:val="00493F8B"/>
    <w:rsid w:val="004A036A"/>
    <w:rsid w:val="004A1654"/>
    <w:rsid w:val="004A3067"/>
    <w:rsid w:val="004A51AE"/>
    <w:rsid w:val="004A57D7"/>
    <w:rsid w:val="004A5EBF"/>
    <w:rsid w:val="004A6284"/>
    <w:rsid w:val="004A6855"/>
    <w:rsid w:val="004A7E5F"/>
    <w:rsid w:val="004B58FC"/>
    <w:rsid w:val="004C1C95"/>
    <w:rsid w:val="004C30A9"/>
    <w:rsid w:val="004C3798"/>
    <w:rsid w:val="004C4928"/>
    <w:rsid w:val="004C59BF"/>
    <w:rsid w:val="004C63C4"/>
    <w:rsid w:val="004D103F"/>
    <w:rsid w:val="004D2200"/>
    <w:rsid w:val="004D3EEC"/>
    <w:rsid w:val="004D4100"/>
    <w:rsid w:val="004D411A"/>
    <w:rsid w:val="004D7675"/>
    <w:rsid w:val="004E38AD"/>
    <w:rsid w:val="004E4BE1"/>
    <w:rsid w:val="004E5235"/>
    <w:rsid w:val="004F032A"/>
    <w:rsid w:val="004F1476"/>
    <w:rsid w:val="004F2810"/>
    <w:rsid w:val="004F66DA"/>
    <w:rsid w:val="004F6798"/>
    <w:rsid w:val="004F7184"/>
    <w:rsid w:val="00504A57"/>
    <w:rsid w:val="00504E1B"/>
    <w:rsid w:val="00507F45"/>
    <w:rsid w:val="005116AA"/>
    <w:rsid w:val="00512FCF"/>
    <w:rsid w:val="00515CB4"/>
    <w:rsid w:val="00516F67"/>
    <w:rsid w:val="005207BF"/>
    <w:rsid w:val="00525D32"/>
    <w:rsid w:val="00527E14"/>
    <w:rsid w:val="00534C60"/>
    <w:rsid w:val="00535EB0"/>
    <w:rsid w:val="00537105"/>
    <w:rsid w:val="005375D3"/>
    <w:rsid w:val="00537CE6"/>
    <w:rsid w:val="0054062D"/>
    <w:rsid w:val="00541457"/>
    <w:rsid w:val="00544ABE"/>
    <w:rsid w:val="00544D4E"/>
    <w:rsid w:val="00547969"/>
    <w:rsid w:val="00547DA8"/>
    <w:rsid w:val="00550BB9"/>
    <w:rsid w:val="005518F1"/>
    <w:rsid w:val="00552963"/>
    <w:rsid w:val="005532F9"/>
    <w:rsid w:val="005537CD"/>
    <w:rsid w:val="00555006"/>
    <w:rsid w:val="00555F58"/>
    <w:rsid w:val="0056042A"/>
    <w:rsid w:val="00560CA1"/>
    <w:rsid w:val="005610E0"/>
    <w:rsid w:val="00563B3D"/>
    <w:rsid w:val="00564CC5"/>
    <w:rsid w:val="005662A3"/>
    <w:rsid w:val="00566C27"/>
    <w:rsid w:val="00570C1E"/>
    <w:rsid w:val="00572190"/>
    <w:rsid w:val="00572670"/>
    <w:rsid w:val="00574FC2"/>
    <w:rsid w:val="00580410"/>
    <w:rsid w:val="0058095D"/>
    <w:rsid w:val="00581388"/>
    <w:rsid w:val="0058425E"/>
    <w:rsid w:val="00585230"/>
    <w:rsid w:val="0058783D"/>
    <w:rsid w:val="0059171F"/>
    <w:rsid w:val="00595821"/>
    <w:rsid w:val="00596378"/>
    <w:rsid w:val="0059698B"/>
    <w:rsid w:val="00597896"/>
    <w:rsid w:val="005A25F8"/>
    <w:rsid w:val="005A2A76"/>
    <w:rsid w:val="005A31E4"/>
    <w:rsid w:val="005A3A34"/>
    <w:rsid w:val="005B021E"/>
    <w:rsid w:val="005B1E1D"/>
    <w:rsid w:val="005B4C97"/>
    <w:rsid w:val="005B5170"/>
    <w:rsid w:val="005B547B"/>
    <w:rsid w:val="005B6727"/>
    <w:rsid w:val="005B7C96"/>
    <w:rsid w:val="005C0366"/>
    <w:rsid w:val="005C3BA0"/>
    <w:rsid w:val="005C3C05"/>
    <w:rsid w:val="005C4EE3"/>
    <w:rsid w:val="005C67C0"/>
    <w:rsid w:val="005D002D"/>
    <w:rsid w:val="005D00D7"/>
    <w:rsid w:val="005D187C"/>
    <w:rsid w:val="005D363F"/>
    <w:rsid w:val="005D433A"/>
    <w:rsid w:val="005D4483"/>
    <w:rsid w:val="005D4F43"/>
    <w:rsid w:val="005D6C9C"/>
    <w:rsid w:val="005E0467"/>
    <w:rsid w:val="005E08FA"/>
    <w:rsid w:val="005E3BFF"/>
    <w:rsid w:val="005E48E2"/>
    <w:rsid w:val="005E4984"/>
    <w:rsid w:val="005E5CD5"/>
    <w:rsid w:val="005E5EBC"/>
    <w:rsid w:val="005E7434"/>
    <w:rsid w:val="005F108D"/>
    <w:rsid w:val="005F2C0D"/>
    <w:rsid w:val="005F3435"/>
    <w:rsid w:val="005F4A65"/>
    <w:rsid w:val="005F55A2"/>
    <w:rsid w:val="005F5DCF"/>
    <w:rsid w:val="005F7794"/>
    <w:rsid w:val="005F7880"/>
    <w:rsid w:val="006010B9"/>
    <w:rsid w:val="006029DD"/>
    <w:rsid w:val="00602F0C"/>
    <w:rsid w:val="0060439D"/>
    <w:rsid w:val="00610CF1"/>
    <w:rsid w:val="00612671"/>
    <w:rsid w:val="00613060"/>
    <w:rsid w:val="006168BC"/>
    <w:rsid w:val="00622587"/>
    <w:rsid w:val="006238C1"/>
    <w:rsid w:val="00632ECD"/>
    <w:rsid w:val="006345FE"/>
    <w:rsid w:val="00635FDA"/>
    <w:rsid w:val="006363D7"/>
    <w:rsid w:val="00637A19"/>
    <w:rsid w:val="00640461"/>
    <w:rsid w:val="00641961"/>
    <w:rsid w:val="00642EC9"/>
    <w:rsid w:val="006447EA"/>
    <w:rsid w:val="00645E1C"/>
    <w:rsid w:val="00646CDB"/>
    <w:rsid w:val="00646E10"/>
    <w:rsid w:val="00650CDA"/>
    <w:rsid w:val="006536D6"/>
    <w:rsid w:val="00653B52"/>
    <w:rsid w:val="00653D64"/>
    <w:rsid w:val="006540E7"/>
    <w:rsid w:val="0065546E"/>
    <w:rsid w:val="00655BF3"/>
    <w:rsid w:val="00655E30"/>
    <w:rsid w:val="00661005"/>
    <w:rsid w:val="00661A23"/>
    <w:rsid w:val="006621F4"/>
    <w:rsid w:val="00662B21"/>
    <w:rsid w:val="00662F8E"/>
    <w:rsid w:val="00663D21"/>
    <w:rsid w:val="006646E2"/>
    <w:rsid w:val="0066580F"/>
    <w:rsid w:val="00667538"/>
    <w:rsid w:val="0067292C"/>
    <w:rsid w:val="0067341F"/>
    <w:rsid w:val="00674E43"/>
    <w:rsid w:val="006759F8"/>
    <w:rsid w:val="00681AD5"/>
    <w:rsid w:val="00681EBF"/>
    <w:rsid w:val="00682953"/>
    <w:rsid w:val="00682F0B"/>
    <w:rsid w:val="00684AF6"/>
    <w:rsid w:val="00686C92"/>
    <w:rsid w:val="00690B00"/>
    <w:rsid w:val="00691FED"/>
    <w:rsid w:val="006959E7"/>
    <w:rsid w:val="00696184"/>
    <w:rsid w:val="006961C7"/>
    <w:rsid w:val="006A0BE8"/>
    <w:rsid w:val="006A14D3"/>
    <w:rsid w:val="006A2B83"/>
    <w:rsid w:val="006A31F8"/>
    <w:rsid w:val="006A4603"/>
    <w:rsid w:val="006A67DB"/>
    <w:rsid w:val="006A68DA"/>
    <w:rsid w:val="006A6CE4"/>
    <w:rsid w:val="006A728F"/>
    <w:rsid w:val="006B0361"/>
    <w:rsid w:val="006B169A"/>
    <w:rsid w:val="006B3B9B"/>
    <w:rsid w:val="006C3000"/>
    <w:rsid w:val="006C31AF"/>
    <w:rsid w:val="006C37B5"/>
    <w:rsid w:val="006C79AA"/>
    <w:rsid w:val="006C7FE8"/>
    <w:rsid w:val="006D27DC"/>
    <w:rsid w:val="006D3372"/>
    <w:rsid w:val="006E1630"/>
    <w:rsid w:val="006E271D"/>
    <w:rsid w:val="006E4092"/>
    <w:rsid w:val="006E4D57"/>
    <w:rsid w:val="006E5B73"/>
    <w:rsid w:val="006E6CDB"/>
    <w:rsid w:val="006E73E0"/>
    <w:rsid w:val="006F0DE9"/>
    <w:rsid w:val="006F0E51"/>
    <w:rsid w:val="006F18D3"/>
    <w:rsid w:val="006F665E"/>
    <w:rsid w:val="006F6CE3"/>
    <w:rsid w:val="00701FD8"/>
    <w:rsid w:val="00702248"/>
    <w:rsid w:val="00703991"/>
    <w:rsid w:val="00705C1D"/>
    <w:rsid w:val="007077CE"/>
    <w:rsid w:val="00707B7F"/>
    <w:rsid w:val="0071034F"/>
    <w:rsid w:val="00710640"/>
    <w:rsid w:val="007117FF"/>
    <w:rsid w:val="00712D70"/>
    <w:rsid w:val="00716DB4"/>
    <w:rsid w:val="00717138"/>
    <w:rsid w:val="007176DD"/>
    <w:rsid w:val="00725AC5"/>
    <w:rsid w:val="00726445"/>
    <w:rsid w:val="00730C04"/>
    <w:rsid w:val="00734993"/>
    <w:rsid w:val="00736E1E"/>
    <w:rsid w:val="00736F9B"/>
    <w:rsid w:val="00737864"/>
    <w:rsid w:val="00737B97"/>
    <w:rsid w:val="00744398"/>
    <w:rsid w:val="007446B8"/>
    <w:rsid w:val="007449FE"/>
    <w:rsid w:val="00744D52"/>
    <w:rsid w:val="00744FB7"/>
    <w:rsid w:val="00745185"/>
    <w:rsid w:val="0074544C"/>
    <w:rsid w:val="00750D7A"/>
    <w:rsid w:val="00750F3A"/>
    <w:rsid w:val="00752125"/>
    <w:rsid w:val="00752496"/>
    <w:rsid w:val="007533E4"/>
    <w:rsid w:val="00754783"/>
    <w:rsid w:val="00755009"/>
    <w:rsid w:val="00755807"/>
    <w:rsid w:val="00755EA4"/>
    <w:rsid w:val="00760852"/>
    <w:rsid w:val="0076140A"/>
    <w:rsid w:val="00761B6A"/>
    <w:rsid w:val="00762936"/>
    <w:rsid w:val="00762F20"/>
    <w:rsid w:val="00765193"/>
    <w:rsid w:val="007654B7"/>
    <w:rsid w:val="00771475"/>
    <w:rsid w:val="00771CE0"/>
    <w:rsid w:val="00772C4B"/>
    <w:rsid w:val="00775D3A"/>
    <w:rsid w:val="007768EA"/>
    <w:rsid w:val="00776A36"/>
    <w:rsid w:val="00777F25"/>
    <w:rsid w:val="00780E8C"/>
    <w:rsid w:val="00780FED"/>
    <w:rsid w:val="00781511"/>
    <w:rsid w:val="00781598"/>
    <w:rsid w:val="00781715"/>
    <w:rsid w:val="007841A4"/>
    <w:rsid w:val="00786F5F"/>
    <w:rsid w:val="00787BA5"/>
    <w:rsid w:val="007919E2"/>
    <w:rsid w:val="00792D73"/>
    <w:rsid w:val="007945AE"/>
    <w:rsid w:val="007955D1"/>
    <w:rsid w:val="00796477"/>
    <w:rsid w:val="007A2D84"/>
    <w:rsid w:val="007A42A9"/>
    <w:rsid w:val="007A55C9"/>
    <w:rsid w:val="007B085A"/>
    <w:rsid w:val="007B08A7"/>
    <w:rsid w:val="007B0CED"/>
    <w:rsid w:val="007B2B1A"/>
    <w:rsid w:val="007B2CD9"/>
    <w:rsid w:val="007B2E24"/>
    <w:rsid w:val="007B326A"/>
    <w:rsid w:val="007B6696"/>
    <w:rsid w:val="007B772D"/>
    <w:rsid w:val="007C0B44"/>
    <w:rsid w:val="007C2031"/>
    <w:rsid w:val="007C381C"/>
    <w:rsid w:val="007C38DD"/>
    <w:rsid w:val="007C456A"/>
    <w:rsid w:val="007C5D97"/>
    <w:rsid w:val="007C6892"/>
    <w:rsid w:val="007C6D73"/>
    <w:rsid w:val="007C7C64"/>
    <w:rsid w:val="007C7F25"/>
    <w:rsid w:val="007D15A4"/>
    <w:rsid w:val="007D4BBF"/>
    <w:rsid w:val="007D5E0C"/>
    <w:rsid w:val="007D5F1C"/>
    <w:rsid w:val="007D5F6B"/>
    <w:rsid w:val="007D645E"/>
    <w:rsid w:val="007D66B7"/>
    <w:rsid w:val="007D7AC0"/>
    <w:rsid w:val="007E33D8"/>
    <w:rsid w:val="007E4917"/>
    <w:rsid w:val="007E4967"/>
    <w:rsid w:val="007E6BBE"/>
    <w:rsid w:val="007E78FC"/>
    <w:rsid w:val="007F26D5"/>
    <w:rsid w:val="007F2CD0"/>
    <w:rsid w:val="007F451C"/>
    <w:rsid w:val="007F7C96"/>
    <w:rsid w:val="007F7DE5"/>
    <w:rsid w:val="0080012B"/>
    <w:rsid w:val="00801CE2"/>
    <w:rsid w:val="0080590A"/>
    <w:rsid w:val="00810629"/>
    <w:rsid w:val="0081087D"/>
    <w:rsid w:val="00811058"/>
    <w:rsid w:val="008136B6"/>
    <w:rsid w:val="00814819"/>
    <w:rsid w:val="00815972"/>
    <w:rsid w:val="00815A2F"/>
    <w:rsid w:val="00815E21"/>
    <w:rsid w:val="0082345E"/>
    <w:rsid w:val="00823635"/>
    <w:rsid w:val="008240BA"/>
    <w:rsid w:val="00824B2E"/>
    <w:rsid w:val="00825B72"/>
    <w:rsid w:val="00826190"/>
    <w:rsid w:val="0082672C"/>
    <w:rsid w:val="00826BC5"/>
    <w:rsid w:val="00830486"/>
    <w:rsid w:val="008317DD"/>
    <w:rsid w:val="008331E4"/>
    <w:rsid w:val="00833433"/>
    <w:rsid w:val="008364DC"/>
    <w:rsid w:val="008403D4"/>
    <w:rsid w:val="00840D0D"/>
    <w:rsid w:val="00841EE8"/>
    <w:rsid w:val="00846666"/>
    <w:rsid w:val="00850F01"/>
    <w:rsid w:val="008522EA"/>
    <w:rsid w:val="00852F2D"/>
    <w:rsid w:val="008531A3"/>
    <w:rsid w:val="0085359F"/>
    <w:rsid w:val="008618D4"/>
    <w:rsid w:val="00864A7F"/>
    <w:rsid w:val="008650FA"/>
    <w:rsid w:val="00865491"/>
    <w:rsid w:val="008656D9"/>
    <w:rsid w:val="00865F68"/>
    <w:rsid w:val="008664FA"/>
    <w:rsid w:val="008679E4"/>
    <w:rsid w:val="00870367"/>
    <w:rsid w:val="00872B08"/>
    <w:rsid w:val="00874F7F"/>
    <w:rsid w:val="00875399"/>
    <w:rsid w:val="00882A84"/>
    <w:rsid w:val="00884A4D"/>
    <w:rsid w:val="00887E5E"/>
    <w:rsid w:val="00890549"/>
    <w:rsid w:val="0089146A"/>
    <w:rsid w:val="008915CD"/>
    <w:rsid w:val="0089422D"/>
    <w:rsid w:val="0089477F"/>
    <w:rsid w:val="0089564D"/>
    <w:rsid w:val="008956CA"/>
    <w:rsid w:val="00896181"/>
    <w:rsid w:val="008A0F6F"/>
    <w:rsid w:val="008A41FA"/>
    <w:rsid w:val="008A72C9"/>
    <w:rsid w:val="008B0066"/>
    <w:rsid w:val="008B03A9"/>
    <w:rsid w:val="008B0D2A"/>
    <w:rsid w:val="008B338F"/>
    <w:rsid w:val="008B6D51"/>
    <w:rsid w:val="008B760D"/>
    <w:rsid w:val="008C2004"/>
    <w:rsid w:val="008C25E9"/>
    <w:rsid w:val="008C3A52"/>
    <w:rsid w:val="008C3D35"/>
    <w:rsid w:val="008C610E"/>
    <w:rsid w:val="008C77AC"/>
    <w:rsid w:val="008D10D2"/>
    <w:rsid w:val="008D24D5"/>
    <w:rsid w:val="008D3B1D"/>
    <w:rsid w:val="008D3EBE"/>
    <w:rsid w:val="008D5474"/>
    <w:rsid w:val="008D6F3B"/>
    <w:rsid w:val="008D79D3"/>
    <w:rsid w:val="008E10B6"/>
    <w:rsid w:val="008E1C26"/>
    <w:rsid w:val="008F128D"/>
    <w:rsid w:val="008F12BC"/>
    <w:rsid w:val="008F31A4"/>
    <w:rsid w:val="008F539B"/>
    <w:rsid w:val="008F692E"/>
    <w:rsid w:val="0090138A"/>
    <w:rsid w:val="00901438"/>
    <w:rsid w:val="0090385C"/>
    <w:rsid w:val="00904300"/>
    <w:rsid w:val="00905E7A"/>
    <w:rsid w:val="00905F54"/>
    <w:rsid w:val="0090633C"/>
    <w:rsid w:val="00917402"/>
    <w:rsid w:val="0092240A"/>
    <w:rsid w:val="0092291D"/>
    <w:rsid w:val="00923330"/>
    <w:rsid w:val="00925BFD"/>
    <w:rsid w:val="0092620F"/>
    <w:rsid w:val="00926FBF"/>
    <w:rsid w:val="00931540"/>
    <w:rsid w:val="00931966"/>
    <w:rsid w:val="00931C86"/>
    <w:rsid w:val="0093367D"/>
    <w:rsid w:val="00935ECE"/>
    <w:rsid w:val="00940E95"/>
    <w:rsid w:val="00941C54"/>
    <w:rsid w:val="00941FC9"/>
    <w:rsid w:val="009423B0"/>
    <w:rsid w:val="0094247D"/>
    <w:rsid w:val="00944973"/>
    <w:rsid w:val="00945E24"/>
    <w:rsid w:val="009468AC"/>
    <w:rsid w:val="00947E41"/>
    <w:rsid w:val="00950A05"/>
    <w:rsid w:val="009535B6"/>
    <w:rsid w:val="00953D4A"/>
    <w:rsid w:val="009551B6"/>
    <w:rsid w:val="00956A43"/>
    <w:rsid w:val="00961540"/>
    <w:rsid w:val="0096192B"/>
    <w:rsid w:val="0096291D"/>
    <w:rsid w:val="00967638"/>
    <w:rsid w:val="00970920"/>
    <w:rsid w:val="00971674"/>
    <w:rsid w:val="009719E8"/>
    <w:rsid w:val="00973FAC"/>
    <w:rsid w:val="009741FF"/>
    <w:rsid w:val="0097453B"/>
    <w:rsid w:val="00974CD4"/>
    <w:rsid w:val="0097510E"/>
    <w:rsid w:val="009776F5"/>
    <w:rsid w:val="00977D8D"/>
    <w:rsid w:val="00977E63"/>
    <w:rsid w:val="0098173F"/>
    <w:rsid w:val="00981792"/>
    <w:rsid w:val="0098203F"/>
    <w:rsid w:val="00982F21"/>
    <w:rsid w:val="0098371F"/>
    <w:rsid w:val="00985562"/>
    <w:rsid w:val="00990EA6"/>
    <w:rsid w:val="009924B2"/>
    <w:rsid w:val="00992949"/>
    <w:rsid w:val="00992B80"/>
    <w:rsid w:val="00992ECE"/>
    <w:rsid w:val="00993708"/>
    <w:rsid w:val="009942EB"/>
    <w:rsid w:val="00995F40"/>
    <w:rsid w:val="00997A23"/>
    <w:rsid w:val="009A3A86"/>
    <w:rsid w:val="009A404B"/>
    <w:rsid w:val="009B0CBB"/>
    <w:rsid w:val="009B1827"/>
    <w:rsid w:val="009B28D7"/>
    <w:rsid w:val="009B4E3F"/>
    <w:rsid w:val="009B5905"/>
    <w:rsid w:val="009B704F"/>
    <w:rsid w:val="009B78D5"/>
    <w:rsid w:val="009B7B4F"/>
    <w:rsid w:val="009C1749"/>
    <w:rsid w:val="009C5405"/>
    <w:rsid w:val="009C55DE"/>
    <w:rsid w:val="009C57AE"/>
    <w:rsid w:val="009C6385"/>
    <w:rsid w:val="009C744E"/>
    <w:rsid w:val="009D006D"/>
    <w:rsid w:val="009D06C1"/>
    <w:rsid w:val="009D0ABE"/>
    <w:rsid w:val="009D2CFD"/>
    <w:rsid w:val="009D72B0"/>
    <w:rsid w:val="009E05B0"/>
    <w:rsid w:val="009E245A"/>
    <w:rsid w:val="009E2C2E"/>
    <w:rsid w:val="009E515D"/>
    <w:rsid w:val="009E63C5"/>
    <w:rsid w:val="009F193F"/>
    <w:rsid w:val="009F3F56"/>
    <w:rsid w:val="009F4638"/>
    <w:rsid w:val="009F50ED"/>
    <w:rsid w:val="009F5120"/>
    <w:rsid w:val="009F5487"/>
    <w:rsid w:val="009F5E10"/>
    <w:rsid w:val="009F7ECE"/>
    <w:rsid w:val="00A001AD"/>
    <w:rsid w:val="00A016E4"/>
    <w:rsid w:val="00A01AE2"/>
    <w:rsid w:val="00A01DB5"/>
    <w:rsid w:val="00A03C4A"/>
    <w:rsid w:val="00A050CB"/>
    <w:rsid w:val="00A05196"/>
    <w:rsid w:val="00A06685"/>
    <w:rsid w:val="00A1108A"/>
    <w:rsid w:val="00A11D5C"/>
    <w:rsid w:val="00A12E85"/>
    <w:rsid w:val="00A13EA5"/>
    <w:rsid w:val="00A14181"/>
    <w:rsid w:val="00A17154"/>
    <w:rsid w:val="00A17672"/>
    <w:rsid w:val="00A17E06"/>
    <w:rsid w:val="00A20451"/>
    <w:rsid w:val="00A24EAA"/>
    <w:rsid w:val="00A255F8"/>
    <w:rsid w:val="00A2642E"/>
    <w:rsid w:val="00A32456"/>
    <w:rsid w:val="00A32F3F"/>
    <w:rsid w:val="00A33591"/>
    <w:rsid w:val="00A33CA9"/>
    <w:rsid w:val="00A34585"/>
    <w:rsid w:val="00A360A0"/>
    <w:rsid w:val="00A3676D"/>
    <w:rsid w:val="00A3725F"/>
    <w:rsid w:val="00A37330"/>
    <w:rsid w:val="00A3748E"/>
    <w:rsid w:val="00A421F8"/>
    <w:rsid w:val="00A4313C"/>
    <w:rsid w:val="00A439D3"/>
    <w:rsid w:val="00A519BC"/>
    <w:rsid w:val="00A51EE5"/>
    <w:rsid w:val="00A53A5E"/>
    <w:rsid w:val="00A544F6"/>
    <w:rsid w:val="00A609FD"/>
    <w:rsid w:val="00A61DC5"/>
    <w:rsid w:val="00A63616"/>
    <w:rsid w:val="00A64BF8"/>
    <w:rsid w:val="00A65B64"/>
    <w:rsid w:val="00A70293"/>
    <w:rsid w:val="00A711E7"/>
    <w:rsid w:val="00A713B4"/>
    <w:rsid w:val="00A7174D"/>
    <w:rsid w:val="00A7295F"/>
    <w:rsid w:val="00A72BE6"/>
    <w:rsid w:val="00A731FD"/>
    <w:rsid w:val="00A7341A"/>
    <w:rsid w:val="00A7492B"/>
    <w:rsid w:val="00A75F4E"/>
    <w:rsid w:val="00A7670A"/>
    <w:rsid w:val="00A77759"/>
    <w:rsid w:val="00A777DD"/>
    <w:rsid w:val="00A80188"/>
    <w:rsid w:val="00A835EE"/>
    <w:rsid w:val="00A84A83"/>
    <w:rsid w:val="00A86B39"/>
    <w:rsid w:val="00A86EA9"/>
    <w:rsid w:val="00A9187A"/>
    <w:rsid w:val="00A92057"/>
    <w:rsid w:val="00A92B74"/>
    <w:rsid w:val="00A931A2"/>
    <w:rsid w:val="00A93BA5"/>
    <w:rsid w:val="00A97B3F"/>
    <w:rsid w:val="00A97F94"/>
    <w:rsid w:val="00AA5478"/>
    <w:rsid w:val="00AA7376"/>
    <w:rsid w:val="00AB27D1"/>
    <w:rsid w:val="00AB577C"/>
    <w:rsid w:val="00AB6D7A"/>
    <w:rsid w:val="00AB711E"/>
    <w:rsid w:val="00AB76E2"/>
    <w:rsid w:val="00AC1B18"/>
    <w:rsid w:val="00AC3518"/>
    <w:rsid w:val="00AD1A8C"/>
    <w:rsid w:val="00AD1CBF"/>
    <w:rsid w:val="00AE011B"/>
    <w:rsid w:val="00AE0B3F"/>
    <w:rsid w:val="00AE126E"/>
    <w:rsid w:val="00AE2B80"/>
    <w:rsid w:val="00AE3213"/>
    <w:rsid w:val="00AE4754"/>
    <w:rsid w:val="00AE6574"/>
    <w:rsid w:val="00AF4A93"/>
    <w:rsid w:val="00AF4DAE"/>
    <w:rsid w:val="00AF50A9"/>
    <w:rsid w:val="00AF5E28"/>
    <w:rsid w:val="00AF66C1"/>
    <w:rsid w:val="00B00094"/>
    <w:rsid w:val="00B002C0"/>
    <w:rsid w:val="00B01F99"/>
    <w:rsid w:val="00B0356B"/>
    <w:rsid w:val="00B03C61"/>
    <w:rsid w:val="00B052EE"/>
    <w:rsid w:val="00B05AB9"/>
    <w:rsid w:val="00B05EC9"/>
    <w:rsid w:val="00B069AD"/>
    <w:rsid w:val="00B106A9"/>
    <w:rsid w:val="00B10A9C"/>
    <w:rsid w:val="00B20EEE"/>
    <w:rsid w:val="00B21A6E"/>
    <w:rsid w:val="00B21CCF"/>
    <w:rsid w:val="00B25FF6"/>
    <w:rsid w:val="00B30410"/>
    <w:rsid w:val="00B32DAC"/>
    <w:rsid w:val="00B33479"/>
    <w:rsid w:val="00B346C4"/>
    <w:rsid w:val="00B3573B"/>
    <w:rsid w:val="00B35E62"/>
    <w:rsid w:val="00B36F28"/>
    <w:rsid w:val="00B379D9"/>
    <w:rsid w:val="00B40487"/>
    <w:rsid w:val="00B41659"/>
    <w:rsid w:val="00B41EA8"/>
    <w:rsid w:val="00B428D2"/>
    <w:rsid w:val="00B4636F"/>
    <w:rsid w:val="00B50290"/>
    <w:rsid w:val="00B562D4"/>
    <w:rsid w:val="00B568FF"/>
    <w:rsid w:val="00B56977"/>
    <w:rsid w:val="00B5767A"/>
    <w:rsid w:val="00B6066B"/>
    <w:rsid w:val="00B607CC"/>
    <w:rsid w:val="00B61139"/>
    <w:rsid w:val="00B62A8C"/>
    <w:rsid w:val="00B71F48"/>
    <w:rsid w:val="00B726B9"/>
    <w:rsid w:val="00B72D62"/>
    <w:rsid w:val="00B752AC"/>
    <w:rsid w:val="00B76FC0"/>
    <w:rsid w:val="00B81062"/>
    <w:rsid w:val="00B82109"/>
    <w:rsid w:val="00B83B10"/>
    <w:rsid w:val="00B84C53"/>
    <w:rsid w:val="00B94743"/>
    <w:rsid w:val="00B962FF"/>
    <w:rsid w:val="00B9659D"/>
    <w:rsid w:val="00B96892"/>
    <w:rsid w:val="00BA0C74"/>
    <w:rsid w:val="00BA12EC"/>
    <w:rsid w:val="00BA17F7"/>
    <w:rsid w:val="00BA40F0"/>
    <w:rsid w:val="00BA4E02"/>
    <w:rsid w:val="00BA7270"/>
    <w:rsid w:val="00BB1197"/>
    <w:rsid w:val="00BB1D37"/>
    <w:rsid w:val="00BB3037"/>
    <w:rsid w:val="00BB33B9"/>
    <w:rsid w:val="00BB3F1C"/>
    <w:rsid w:val="00BB4920"/>
    <w:rsid w:val="00BB4B93"/>
    <w:rsid w:val="00BB79A7"/>
    <w:rsid w:val="00BB7E94"/>
    <w:rsid w:val="00BC02C5"/>
    <w:rsid w:val="00BC3DE1"/>
    <w:rsid w:val="00BD325A"/>
    <w:rsid w:val="00BD42C7"/>
    <w:rsid w:val="00BD489F"/>
    <w:rsid w:val="00BD4D23"/>
    <w:rsid w:val="00BD78DC"/>
    <w:rsid w:val="00BE049C"/>
    <w:rsid w:val="00BE54BC"/>
    <w:rsid w:val="00BE62FD"/>
    <w:rsid w:val="00BE6A1A"/>
    <w:rsid w:val="00BF2E1D"/>
    <w:rsid w:val="00BF49C9"/>
    <w:rsid w:val="00BF6B31"/>
    <w:rsid w:val="00BF782A"/>
    <w:rsid w:val="00BF7AE9"/>
    <w:rsid w:val="00C00FAC"/>
    <w:rsid w:val="00C0181C"/>
    <w:rsid w:val="00C04213"/>
    <w:rsid w:val="00C07231"/>
    <w:rsid w:val="00C07DAF"/>
    <w:rsid w:val="00C1105A"/>
    <w:rsid w:val="00C12733"/>
    <w:rsid w:val="00C15AB3"/>
    <w:rsid w:val="00C15D98"/>
    <w:rsid w:val="00C17842"/>
    <w:rsid w:val="00C214D4"/>
    <w:rsid w:val="00C2274C"/>
    <w:rsid w:val="00C24EAC"/>
    <w:rsid w:val="00C26169"/>
    <w:rsid w:val="00C27252"/>
    <w:rsid w:val="00C300B4"/>
    <w:rsid w:val="00C31DB5"/>
    <w:rsid w:val="00C32CAC"/>
    <w:rsid w:val="00C33B50"/>
    <w:rsid w:val="00C343F4"/>
    <w:rsid w:val="00C34C9D"/>
    <w:rsid w:val="00C3502B"/>
    <w:rsid w:val="00C36D8B"/>
    <w:rsid w:val="00C41775"/>
    <w:rsid w:val="00C42F6F"/>
    <w:rsid w:val="00C436F3"/>
    <w:rsid w:val="00C44AEC"/>
    <w:rsid w:val="00C44D7B"/>
    <w:rsid w:val="00C473DD"/>
    <w:rsid w:val="00C50102"/>
    <w:rsid w:val="00C524A1"/>
    <w:rsid w:val="00C52C68"/>
    <w:rsid w:val="00C53346"/>
    <w:rsid w:val="00C55242"/>
    <w:rsid w:val="00C565E8"/>
    <w:rsid w:val="00C57153"/>
    <w:rsid w:val="00C61617"/>
    <w:rsid w:val="00C61D44"/>
    <w:rsid w:val="00C629A9"/>
    <w:rsid w:val="00C633F7"/>
    <w:rsid w:val="00C63D12"/>
    <w:rsid w:val="00C649A6"/>
    <w:rsid w:val="00C65C3E"/>
    <w:rsid w:val="00C66422"/>
    <w:rsid w:val="00C6645F"/>
    <w:rsid w:val="00C67B26"/>
    <w:rsid w:val="00C70512"/>
    <w:rsid w:val="00C71426"/>
    <w:rsid w:val="00C72B0A"/>
    <w:rsid w:val="00C72DE2"/>
    <w:rsid w:val="00C730E8"/>
    <w:rsid w:val="00C74837"/>
    <w:rsid w:val="00C74A51"/>
    <w:rsid w:val="00C754E3"/>
    <w:rsid w:val="00C75B04"/>
    <w:rsid w:val="00C775C0"/>
    <w:rsid w:val="00C778E9"/>
    <w:rsid w:val="00C77B88"/>
    <w:rsid w:val="00C803AC"/>
    <w:rsid w:val="00C80E4D"/>
    <w:rsid w:val="00C8146C"/>
    <w:rsid w:val="00C81636"/>
    <w:rsid w:val="00C84E2F"/>
    <w:rsid w:val="00C8745D"/>
    <w:rsid w:val="00C91C0D"/>
    <w:rsid w:val="00C92064"/>
    <w:rsid w:val="00C92BA4"/>
    <w:rsid w:val="00C93C10"/>
    <w:rsid w:val="00C94312"/>
    <w:rsid w:val="00C949FA"/>
    <w:rsid w:val="00C960D9"/>
    <w:rsid w:val="00C96828"/>
    <w:rsid w:val="00C96901"/>
    <w:rsid w:val="00C97CC8"/>
    <w:rsid w:val="00CA2121"/>
    <w:rsid w:val="00CA2977"/>
    <w:rsid w:val="00CA45D7"/>
    <w:rsid w:val="00CA49B6"/>
    <w:rsid w:val="00CA4B8A"/>
    <w:rsid w:val="00CA4BDC"/>
    <w:rsid w:val="00CA54AE"/>
    <w:rsid w:val="00CA5B44"/>
    <w:rsid w:val="00CB0006"/>
    <w:rsid w:val="00CB179A"/>
    <w:rsid w:val="00CB17A6"/>
    <w:rsid w:val="00CB1889"/>
    <w:rsid w:val="00CB2448"/>
    <w:rsid w:val="00CB27D9"/>
    <w:rsid w:val="00CB7E85"/>
    <w:rsid w:val="00CC3181"/>
    <w:rsid w:val="00CC3A09"/>
    <w:rsid w:val="00CC4A6F"/>
    <w:rsid w:val="00CC7C2B"/>
    <w:rsid w:val="00CD07FB"/>
    <w:rsid w:val="00CD0F9E"/>
    <w:rsid w:val="00CD1D2F"/>
    <w:rsid w:val="00CD26BA"/>
    <w:rsid w:val="00CD3DB5"/>
    <w:rsid w:val="00CD4370"/>
    <w:rsid w:val="00CD48E7"/>
    <w:rsid w:val="00CD5DDD"/>
    <w:rsid w:val="00CE04D8"/>
    <w:rsid w:val="00CE54BE"/>
    <w:rsid w:val="00CE7283"/>
    <w:rsid w:val="00CF294F"/>
    <w:rsid w:val="00CF3E12"/>
    <w:rsid w:val="00CF442F"/>
    <w:rsid w:val="00CF47E1"/>
    <w:rsid w:val="00CF6DF7"/>
    <w:rsid w:val="00CF7663"/>
    <w:rsid w:val="00D00140"/>
    <w:rsid w:val="00D022ED"/>
    <w:rsid w:val="00D046DD"/>
    <w:rsid w:val="00D06F1B"/>
    <w:rsid w:val="00D071D9"/>
    <w:rsid w:val="00D11BB2"/>
    <w:rsid w:val="00D12983"/>
    <w:rsid w:val="00D13C36"/>
    <w:rsid w:val="00D13D41"/>
    <w:rsid w:val="00D14A5E"/>
    <w:rsid w:val="00D14DAE"/>
    <w:rsid w:val="00D171D9"/>
    <w:rsid w:val="00D1778C"/>
    <w:rsid w:val="00D201B9"/>
    <w:rsid w:val="00D20469"/>
    <w:rsid w:val="00D2051B"/>
    <w:rsid w:val="00D220A2"/>
    <w:rsid w:val="00D23695"/>
    <w:rsid w:val="00D24604"/>
    <w:rsid w:val="00D30A9E"/>
    <w:rsid w:val="00D3138F"/>
    <w:rsid w:val="00D32AE5"/>
    <w:rsid w:val="00D3436F"/>
    <w:rsid w:val="00D355EA"/>
    <w:rsid w:val="00D36E7E"/>
    <w:rsid w:val="00D37725"/>
    <w:rsid w:val="00D41AE5"/>
    <w:rsid w:val="00D43C64"/>
    <w:rsid w:val="00D44695"/>
    <w:rsid w:val="00D45F34"/>
    <w:rsid w:val="00D46250"/>
    <w:rsid w:val="00D476C7"/>
    <w:rsid w:val="00D47ACA"/>
    <w:rsid w:val="00D514AD"/>
    <w:rsid w:val="00D5218A"/>
    <w:rsid w:val="00D533E4"/>
    <w:rsid w:val="00D555DD"/>
    <w:rsid w:val="00D55CA8"/>
    <w:rsid w:val="00D56CEB"/>
    <w:rsid w:val="00D57769"/>
    <w:rsid w:val="00D57A30"/>
    <w:rsid w:val="00D6143B"/>
    <w:rsid w:val="00D66E37"/>
    <w:rsid w:val="00D70B47"/>
    <w:rsid w:val="00D73842"/>
    <w:rsid w:val="00D73CE1"/>
    <w:rsid w:val="00D76A73"/>
    <w:rsid w:val="00D77AC1"/>
    <w:rsid w:val="00D77DAD"/>
    <w:rsid w:val="00D80330"/>
    <w:rsid w:val="00D81B60"/>
    <w:rsid w:val="00D821C6"/>
    <w:rsid w:val="00D85B6F"/>
    <w:rsid w:val="00D873DB"/>
    <w:rsid w:val="00D9015F"/>
    <w:rsid w:val="00D90D08"/>
    <w:rsid w:val="00D91659"/>
    <w:rsid w:val="00D919A8"/>
    <w:rsid w:val="00D91DDA"/>
    <w:rsid w:val="00D934D4"/>
    <w:rsid w:val="00D94B7E"/>
    <w:rsid w:val="00D956B0"/>
    <w:rsid w:val="00D95D8D"/>
    <w:rsid w:val="00D9669B"/>
    <w:rsid w:val="00D96AD5"/>
    <w:rsid w:val="00DA10BF"/>
    <w:rsid w:val="00DA1C87"/>
    <w:rsid w:val="00DA219D"/>
    <w:rsid w:val="00DA31E4"/>
    <w:rsid w:val="00DA4BB3"/>
    <w:rsid w:val="00DB3F41"/>
    <w:rsid w:val="00DB4506"/>
    <w:rsid w:val="00DB4A07"/>
    <w:rsid w:val="00DB5310"/>
    <w:rsid w:val="00DB5A02"/>
    <w:rsid w:val="00DB5BC6"/>
    <w:rsid w:val="00DB5E9A"/>
    <w:rsid w:val="00DB6DDF"/>
    <w:rsid w:val="00DB7092"/>
    <w:rsid w:val="00DC0FEA"/>
    <w:rsid w:val="00DC1F76"/>
    <w:rsid w:val="00DC2CCC"/>
    <w:rsid w:val="00DC4EEF"/>
    <w:rsid w:val="00DC60C1"/>
    <w:rsid w:val="00DC68DF"/>
    <w:rsid w:val="00DD295A"/>
    <w:rsid w:val="00DD32C1"/>
    <w:rsid w:val="00DE0100"/>
    <w:rsid w:val="00DE400D"/>
    <w:rsid w:val="00DE71D8"/>
    <w:rsid w:val="00DF0CF5"/>
    <w:rsid w:val="00DF1183"/>
    <w:rsid w:val="00DF14A8"/>
    <w:rsid w:val="00DF20E3"/>
    <w:rsid w:val="00DF3E9D"/>
    <w:rsid w:val="00DF506B"/>
    <w:rsid w:val="00DF63EE"/>
    <w:rsid w:val="00E01256"/>
    <w:rsid w:val="00E01668"/>
    <w:rsid w:val="00E01CE5"/>
    <w:rsid w:val="00E021EC"/>
    <w:rsid w:val="00E02755"/>
    <w:rsid w:val="00E02F4E"/>
    <w:rsid w:val="00E0302F"/>
    <w:rsid w:val="00E033C6"/>
    <w:rsid w:val="00E0438C"/>
    <w:rsid w:val="00E04647"/>
    <w:rsid w:val="00E04924"/>
    <w:rsid w:val="00E04B56"/>
    <w:rsid w:val="00E100E9"/>
    <w:rsid w:val="00E1242D"/>
    <w:rsid w:val="00E14EDC"/>
    <w:rsid w:val="00E1590C"/>
    <w:rsid w:val="00E21066"/>
    <w:rsid w:val="00E21085"/>
    <w:rsid w:val="00E23854"/>
    <w:rsid w:val="00E23BF6"/>
    <w:rsid w:val="00E23CA1"/>
    <w:rsid w:val="00E24650"/>
    <w:rsid w:val="00E24AF3"/>
    <w:rsid w:val="00E25B60"/>
    <w:rsid w:val="00E26D2E"/>
    <w:rsid w:val="00E27C16"/>
    <w:rsid w:val="00E31F95"/>
    <w:rsid w:val="00E338B3"/>
    <w:rsid w:val="00E3773F"/>
    <w:rsid w:val="00E40DE8"/>
    <w:rsid w:val="00E41431"/>
    <w:rsid w:val="00E4185C"/>
    <w:rsid w:val="00E41E7F"/>
    <w:rsid w:val="00E42164"/>
    <w:rsid w:val="00E4426F"/>
    <w:rsid w:val="00E447DE"/>
    <w:rsid w:val="00E44CD5"/>
    <w:rsid w:val="00E4505B"/>
    <w:rsid w:val="00E47DC3"/>
    <w:rsid w:val="00E51071"/>
    <w:rsid w:val="00E5147C"/>
    <w:rsid w:val="00E52351"/>
    <w:rsid w:val="00E533F4"/>
    <w:rsid w:val="00E5607E"/>
    <w:rsid w:val="00E60ACF"/>
    <w:rsid w:val="00E617F8"/>
    <w:rsid w:val="00E63FDD"/>
    <w:rsid w:val="00E64D54"/>
    <w:rsid w:val="00E711E9"/>
    <w:rsid w:val="00E720A9"/>
    <w:rsid w:val="00E74AC6"/>
    <w:rsid w:val="00E75C07"/>
    <w:rsid w:val="00E76264"/>
    <w:rsid w:val="00E81062"/>
    <w:rsid w:val="00E831C2"/>
    <w:rsid w:val="00E85FFD"/>
    <w:rsid w:val="00E8703E"/>
    <w:rsid w:val="00E876A2"/>
    <w:rsid w:val="00E87835"/>
    <w:rsid w:val="00E913C2"/>
    <w:rsid w:val="00E93791"/>
    <w:rsid w:val="00E93C1F"/>
    <w:rsid w:val="00E94B30"/>
    <w:rsid w:val="00E95922"/>
    <w:rsid w:val="00E971A7"/>
    <w:rsid w:val="00EA1463"/>
    <w:rsid w:val="00EA2FAA"/>
    <w:rsid w:val="00EA468F"/>
    <w:rsid w:val="00EA59EE"/>
    <w:rsid w:val="00EA70BD"/>
    <w:rsid w:val="00EB004E"/>
    <w:rsid w:val="00EB07E6"/>
    <w:rsid w:val="00EB118A"/>
    <w:rsid w:val="00EB1325"/>
    <w:rsid w:val="00EB2BAC"/>
    <w:rsid w:val="00EB2E0B"/>
    <w:rsid w:val="00EB41C8"/>
    <w:rsid w:val="00EC0B5D"/>
    <w:rsid w:val="00EC1AF4"/>
    <w:rsid w:val="00EC1F26"/>
    <w:rsid w:val="00EC2B36"/>
    <w:rsid w:val="00EC3A64"/>
    <w:rsid w:val="00EC6099"/>
    <w:rsid w:val="00ED04CB"/>
    <w:rsid w:val="00ED053E"/>
    <w:rsid w:val="00ED383A"/>
    <w:rsid w:val="00ED4C4C"/>
    <w:rsid w:val="00ED6ABF"/>
    <w:rsid w:val="00EE38E9"/>
    <w:rsid w:val="00EE7528"/>
    <w:rsid w:val="00EF1BA0"/>
    <w:rsid w:val="00F00376"/>
    <w:rsid w:val="00F0094F"/>
    <w:rsid w:val="00F03A55"/>
    <w:rsid w:val="00F0438E"/>
    <w:rsid w:val="00F054A3"/>
    <w:rsid w:val="00F05E86"/>
    <w:rsid w:val="00F0688E"/>
    <w:rsid w:val="00F1001F"/>
    <w:rsid w:val="00F1031E"/>
    <w:rsid w:val="00F13136"/>
    <w:rsid w:val="00F135B9"/>
    <w:rsid w:val="00F13DEC"/>
    <w:rsid w:val="00F17F8B"/>
    <w:rsid w:val="00F17FF0"/>
    <w:rsid w:val="00F20499"/>
    <w:rsid w:val="00F21E87"/>
    <w:rsid w:val="00F24D63"/>
    <w:rsid w:val="00F2589D"/>
    <w:rsid w:val="00F26FEE"/>
    <w:rsid w:val="00F3101A"/>
    <w:rsid w:val="00F3530D"/>
    <w:rsid w:val="00F363AF"/>
    <w:rsid w:val="00F36920"/>
    <w:rsid w:val="00F37288"/>
    <w:rsid w:val="00F37D57"/>
    <w:rsid w:val="00F40C2A"/>
    <w:rsid w:val="00F42557"/>
    <w:rsid w:val="00F42C1B"/>
    <w:rsid w:val="00F43CFD"/>
    <w:rsid w:val="00F44F96"/>
    <w:rsid w:val="00F454B3"/>
    <w:rsid w:val="00F45D9E"/>
    <w:rsid w:val="00F506F8"/>
    <w:rsid w:val="00F539D5"/>
    <w:rsid w:val="00F53F44"/>
    <w:rsid w:val="00F541DB"/>
    <w:rsid w:val="00F54BDA"/>
    <w:rsid w:val="00F54F3B"/>
    <w:rsid w:val="00F573A7"/>
    <w:rsid w:val="00F574C3"/>
    <w:rsid w:val="00F60399"/>
    <w:rsid w:val="00F60CAF"/>
    <w:rsid w:val="00F6138A"/>
    <w:rsid w:val="00F63491"/>
    <w:rsid w:val="00F635BC"/>
    <w:rsid w:val="00F635FC"/>
    <w:rsid w:val="00F65168"/>
    <w:rsid w:val="00F66AC8"/>
    <w:rsid w:val="00F66CFD"/>
    <w:rsid w:val="00F72CEC"/>
    <w:rsid w:val="00F74B92"/>
    <w:rsid w:val="00F7522A"/>
    <w:rsid w:val="00F778C9"/>
    <w:rsid w:val="00F77FCF"/>
    <w:rsid w:val="00F83499"/>
    <w:rsid w:val="00F836F4"/>
    <w:rsid w:val="00F840B8"/>
    <w:rsid w:val="00F85A0A"/>
    <w:rsid w:val="00F860A5"/>
    <w:rsid w:val="00F8647C"/>
    <w:rsid w:val="00F874C8"/>
    <w:rsid w:val="00F968F9"/>
    <w:rsid w:val="00F96DFC"/>
    <w:rsid w:val="00F97541"/>
    <w:rsid w:val="00FA0209"/>
    <w:rsid w:val="00FA45CF"/>
    <w:rsid w:val="00FA59F7"/>
    <w:rsid w:val="00FB008A"/>
    <w:rsid w:val="00FB14F1"/>
    <w:rsid w:val="00FB569C"/>
    <w:rsid w:val="00FB5860"/>
    <w:rsid w:val="00FC0D68"/>
    <w:rsid w:val="00FC1B99"/>
    <w:rsid w:val="00FC1C5E"/>
    <w:rsid w:val="00FC571B"/>
    <w:rsid w:val="00FC6D54"/>
    <w:rsid w:val="00FC6EFC"/>
    <w:rsid w:val="00FD3A8C"/>
    <w:rsid w:val="00FD6801"/>
    <w:rsid w:val="00FE179F"/>
    <w:rsid w:val="00FE23ED"/>
    <w:rsid w:val="00FE580D"/>
    <w:rsid w:val="00FE68D8"/>
    <w:rsid w:val="00FE7882"/>
    <w:rsid w:val="00FF39CB"/>
    <w:rsid w:val="00FF3C7B"/>
    <w:rsid w:val="00FF44AD"/>
    <w:rsid w:val="00FF4992"/>
    <w:rsid w:val="00FF5F2E"/>
    <w:rsid w:val="00FF7516"/>
    <w:rsid w:val="00FF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BD120"/>
  <w15:docId w15:val="{41BD746F-6C1F-4481-8CA8-C379844A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9C6"/>
    <w:rPr>
      <w:sz w:val="24"/>
      <w:szCs w:val="24"/>
    </w:rPr>
  </w:style>
  <w:style w:type="paragraph" w:styleId="Heading1">
    <w:name w:val="heading 1"/>
    <w:basedOn w:val="Heading0"/>
    <w:next w:val="Normal"/>
    <w:qFormat/>
    <w:rsid w:val="00814819"/>
    <w:pPr>
      <w:numPr>
        <w:numId w:val="2"/>
      </w:numPr>
      <w:tabs>
        <w:tab w:val="left" w:pos="0"/>
        <w:tab w:val="left" w:pos="720"/>
      </w:tabs>
      <w:spacing w:after="900"/>
    </w:pPr>
  </w:style>
  <w:style w:type="paragraph" w:styleId="Heading2">
    <w:name w:val="heading 2"/>
    <w:basedOn w:val="Annex2"/>
    <w:next w:val="Normal"/>
    <w:qFormat/>
    <w:rsid w:val="00781715"/>
    <w:pPr>
      <w:numPr>
        <w:ilvl w:val="1"/>
        <w:numId w:val="2"/>
      </w:numPr>
      <w:shd w:val="clear" w:color="C0C0C0" w:fill="auto"/>
      <w:tabs>
        <w:tab w:val="left" w:pos="720"/>
      </w:tabs>
      <w:spacing w:before="160" w:after="80"/>
      <w:ind w:left="720" w:hanging="720"/>
      <w:outlineLvl w:val="1"/>
    </w:pPr>
    <w:rPr>
      <w:b w:val="0"/>
      <w:caps w:val="0"/>
      <w:smallCaps/>
      <w:snapToGrid w:val="0"/>
      <w:sz w:val="32"/>
    </w:rPr>
  </w:style>
  <w:style w:type="paragraph" w:styleId="Heading3">
    <w:name w:val="heading 3"/>
    <w:basedOn w:val="Heading2"/>
    <w:next w:val="Normal"/>
    <w:qFormat/>
    <w:rsid w:val="00781715"/>
    <w:pPr>
      <w:numPr>
        <w:ilvl w:val="2"/>
      </w:numPr>
      <w:shd w:val="clear" w:color="C0C0C0" w:fill="FFFFFF"/>
      <w:ind w:left="720" w:hanging="720"/>
      <w:outlineLvl w:val="2"/>
    </w:pPr>
    <w:rPr>
      <w:sz w:val="28"/>
      <w:u w:color="808080"/>
    </w:rPr>
  </w:style>
  <w:style w:type="paragraph" w:styleId="Heading4">
    <w:name w:val="heading 4"/>
    <w:basedOn w:val="Heading3"/>
    <w:next w:val="Normal"/>
    <w:qFormat/>
    <w:rsid w:val="00781715"/>
    <w:pPr>
      <w:numPr>
        <w:ilvl w:val="3"/>
      </w:numPr>
      <w:outlineLvl w:val="3"/>
    </w:pPr>
    <w:rPr>
      <w:i/>
      <w:sz w:val="24"/>
    </w:rPr>
  </w:style>
  <w:style w:type="paragraph" w:styleId="Heading5">
    <w:name w:val="heading 5"/>
    <w:basedOn w:val="Heading4"/>
    <w:next w:val="Normal"/>
    <w:link w:val="Heading5Char"/>
    <w:qFormat/>
    <w:pPr>
      <w:numPr>
        <w:ilvl w:val="0"/>
        <w:numId w:val="0"/>
      </w:numPr>
      <w:tabs>
        <w:tab w:val="left" w:pos="3888"/>
        <w:tab w:val="left" w:pos="4320"/>
      </w:tabs>
      <w:ind w:left="1728"/>
      <w:outlineLvl w:val="4"/>
    </w:pPr>
    <w:rPr>
      <w:b/>
    </w:rPr>
  </w:style>
  <w:style w:type="paragraph" w:styleId="Heading6">
    <w:name w:val="heading 6"/>
    <w:basedOn w:val="Normal"/>
    <w:next w:val="Normal"/>
    <w:qFormat/>
    <w:pPr>
      <w:keepNext/>
      <w:framePr w:wrap="notBeside" w:hAnchor="margin" w:yAlign="bottom"/>
      <w:ind w:left="720"/>
      <w:outlineLvl w:val="5"/>
    </w:pPr>
    <w:rPr>
      <w:rFonts w:ascii="Garamond" w:hAnsi="Garamond"/>
      <w:sz w:val="28"/>
      <w:szCs w:val="20"/>
    </w:rPr>
  </w:style>
  <w:style w:type="paragraph" w:styleId="Heading7">
    <w:name w:val="heading 7"/>
    <w:basedOn w:val="Normal"/>
    <w:next w:val="Normal"/>
    <w:qFormat/>
    <w:pPr>
      <w:keepNext/>
      <w:outlineLvl w:val="6"/>
    </w:pPr>
    <w:rPr>
      <w:rFonts w:ascii="Garamond" w:hAnsi="Garamond"/>
      <w:b/>
      <w:i/>
      <w:sz w:val="22"/>
      <w:szCs w:val="20"/>
    </w:rPr>
  </w:style>
  <w:style w:type="paragraph" w:styleId="Heading8">
    <w:name w:val="heading 8"/>
    <w:basedOn w:val="Normal"/>
    <w:next w:val="Normal"/>
    <w:qFormat/>
    <w:pPr>
      <w:spacing w:before="240" w:after="60"/>
      <w:outlineLvl w:val="7"/>
    </w:pPr>
    <w:rPr>
      <w:rFonts w:ascii="Arial" w:hAnsi="Arial"/>
      <w:i/>
      <w:sz w:val="22"/>
      <w:szCs w:val="20"/>
    </w:rPr>
  </w:style>
  <w:style w:type="paragraph" w:styleId="Heading9">
    <w:name w:val="heading 9"/>
    <w:basedOn w:val="Normal"/>
    <w:next w:val="Normal"/>
    <w:qFormat/>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link w:val="Heading0Char"/>
    <w:autoRedefine/>
    <w:rsid w:val="004D2200"/>
    <w:pPr>
      <w:keepNext/>
      <w:pBdr>
        <w:bottom w:val="single" w:sz="2" w:space="1" w:color="002A6C"/>
      </w:pBdr>
      <w:shd w:val="clear" w:color="000000" w:fill="auto"/>
      <w:spacing w:after="840"/>
      <w:jc w:val="center"/>
      <w:outlineLvl w:val="0"/>
    </w:pPr>
    <w:rPr>
      <w:rFonts w:ascii="Arial" w:hAnsi="Arial"/>
      <w:smallCaps/>
      <w:snapToGrid w:val="0"/>
      <w:color w:val="C2113A"/>
      <w:sz w:val="60"/>
      <w:szCs w:val="20"/>
    </w:rPr>
  </w:style>
  <w:style w:type="paragraph" w:customStyle="1" w:styleId="Annex2">
    <w:name w:val="Annex2"/>
    <w:next w:val="1-DocText"/>
    <w:autoRedefine/>
    <w:rsid w:val="001C67B3"/>
    <w:pPr>
      <w:keepNext/>
      <w:spacing w:before="120" w:after="240"/>
    </w:pPr>
    <w:rPr>
      <w:rFonts w:ascii="Arial" w:hAnsi="Arial"/>
      <w:b/>
      <w:caps/>
      <w:color w:val="002A6C"/>
      <w:sz w:val="28"/>
    </w:rPr>
  </w:style>
  <w:style w:type="paragraph" w:customStyle="1" w:styleId="1-DocText">
    <w:name w:val="1-DocText"/>
    <w:link w:val="1-DocTextChar"/>
    <w:autoRedefine/>
    <w:qFormat/>
    <w:rsid w:val="00E3773F"/>
    <w:pPr>
      <w:tabs>
        <w:tab w:val="left" w:pos="2610"/>
      </w:tabs>
      <w:spacing w:before="120" w:after="120"/>
      <w:jc w:val="both"/>
    </w:pPr>
    <w:rPr>
      <w:rFonts w:ascii="Garamond" w:hAnsi="Garamond"/>
      <w:bCs/>
      <w:color w:val="000000"/>
      <w:sz w:val="22"/>
      <w:szCs w:val="22"/>
    </w:rPr>
  </w:style>
  <w:style w:type="paragraph" w:customStyle="1" w:styleId="1-Bullet">
    <w:name w:val="1-Bullet"/>
    <w:autoRedefine/>
    <w:qFormat/>
    <w:rsid w:val="002B00A7"/>
    <w:pPr>
      <w:numPr>
        <w:numId w:val="32"/>
      </w:numPr>
      <w:tabs>
        <w:tab w:val="left" w:pos="5320"/>
      </w:tabs>
      <w:spacing w:before="120" w:after="120"/>
      <w:jc w:val="both"/>
    </w:pPr>
    <w:rPr>
      <w:rFonts w:ascii="Garamond" w:hAnsi="Garamond"/>
      <w:b/>
      <w:snapToGrid w:val="0"/>
      <w:sz w:val="22"/>
    </w:rPr>
  </w:style>
  <w:style w:type="paragraph" w:customStyle="1" w:styleId="citation">
    <w:name w:val="citation"/>
    <w:autoRedefine/>
    <w:rsid w:val="00D91DDA"/>
    <w:pPr>
      <w:framePr w:w="9699" w:h="1096" w:hRule="exact" w:hSpace="289" w:vSpace="289" w:wrap="notBeside" w:vAnchor="text" w:hAnchor="page" w:x="1381" w:y="-119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Garamond" w:hAnsi="Garamond"/>
      <w:snapToGrid w:val="0"/>
      <w:sz w:val="18"/>
    </w:rPr>
  </w:style>
  <w:style w:type="paragraph" w:customStyle="1" w:styleId="Figurebullet">
    <w:name w:val="Figurebullet"/>
    <w:basedOn w:val="Normal"/>
    <w:pPr>
      <w:numPr>
        <w:numId w:val="1"/>
      </w:numPr>
      <w:tabs>
        <w:tab w:val="left" w:pos="-720"/>
      </w:tabs>
      <w:spacing w:before="60" w:after="60"/>
    </w:pPr>
    <w:rPr>
      <w:rFonts w:ascii="Gill Sans" w:hAnsi="Gill Sans"/>
      <w:spacing w:val="-2"/>
      <w:kern w:val="24"/>
      <w:sz w:val="22"/>
      <w:szCs w:val="20"/>
    </w:rPr>
  </w:style>
  <w:style w:type="paragraph" w:customStyle="1" w:styleId="figurebull2">
    <w:name w:val="figurebull2"/>
    <w:basedOn w:val="Figurebullet"/>
  </w:style>
  <w:style w:type="paragraph" w:styleId="Footer">
    <w:name w:val="footer"/>
    <w:basedOn w:val="Normal"/>
    <w:link w:val="FooterChar"/>
    <w:autoRedefine/>
    <w:uiPriority w:val="99"/>
    <w:rsid w:val="00852F2D"/>
    <w:pPr>
      <w:tabs>
        <w:tab w:val="right" w:pos="9360"/>
        <w:tab w:val="right" w:pos="9720"/>
      </w:tabs>
      <w:jc w:val="right"/>
    </w:pPr>
    <w:rPr>
      <w:rFonts w:ascii="Garamond" w:hAnsi="Garamond"/>
      <w:sz w:val="18"/>
      <w:szCs w:val="20"/>
    </w:rPr>
  </w:style>
  <w:style w:type="paragraph" w:styleId="TOC4">
    <w:name w:val="toc 4"/>
    <w:basedOn w:val="Normal"/>
    <w:next w:val="Normal"/>
    <w:autoRedefine/>
    <w:semiHidden/>
    <w:rsid w:val="00FF4992"/>
    <w:pPr>
      <w:ind w:left="660"/>
    </w:pPr>
    <w:rPr>
      <w:rFonts w:ascii="Garamond" w:hAnsi="Garamond"/>
      <w:sz w:val="22"/>
      <w:szCs w:val="20"/>
    </w:rPr>
  </w:style>
  <w:style w:type="character" w:styleId="FootnoteReference">
    <w:name w:val="footnote reference"/>
    <w:aliases w:val="ftref,BVI fnr, BVI fnr,BVI fnr Char Char Char,BVI fnr Car Car Char Char Char,BVI fnr Car Char Char Char,BVI fnr Car Car Car Car Char Char Char1 Char,BVI fnr Char Char Char Char, BVI fnr Car Car,BVI fnr Car, BVI fnr Car Car Car Car,R"/>
    <w:basedOn w:val="DefaultParagraphFont"/>
    <w:link w:val="BVIfnrCarCarCarCarChar"/>
    <w:uiPriority w:val="99"/>
    <w:qFormat/>
    <w:rPr>
      <w:sz w:val="16"/>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
    <w:basedOn w:val="Normal"/>
    <w:link w:val="FootnoteTextChar"/>
    <w:uiPriority w:val="99"/>
    <w:qFormat/>
    <w:rsid w:val="00814819"/>
    <w:pPr>
      <w:keepLines/>
      <w:spacing w:line="200" w:lineRule="atLeast"/>
      <w:ind w:left="432"/>
    </w:pPr>
    <w:rPr>
      <w:rFonts w:ascii="Gill Sans" w:hAnsi="Gill Sans"/>
      <w:sz w:val="18"/>
      <w:szCs w:val="20"/>
      <w:lang w:val="en-GB"/>
    </w:rPr>
  </w:style>
  <w:style w:type="paragraph" w:styleId="TOC2">
    <w:name w:val="toc 2"/>
    <w:basedOn w:val="Normal"/>
    <w:next w:val="Normal"/>
    <w:autoRedefine/>
    <w:uiPriority w:val="39"/>
    <w:rsid w:val="00640461"/>
    <w:pPr>
      <w:tabs>
        <w:tab w:val="left" w:pos="0"/>
        <w:tab w:val="left" w:pos="432"/>
        <w:tab w:val="left" w:pos="810"/>
        <w:tab w:val="left" w:pos="1800"/>
        <w:tab w:val="right" w:leader="dot" w:pos="9346"/>
      </w:tabs>
      <w:spacing w:after="12"/>
      <w:ind w:left="720" w:hanging="360"/>
    </w:pPr>
    <w:rPr>
      <w:rFonts w:ascii="Gill Sans" w:hAnsi="Gill Sans"/>
      <w:noProof/>
      <w:sz w:val="22"/>
      <w:szCs w:val="28"/>
    </w:rPr>
  </w:style>
  <w:style w:type="paragraph" w:styleId="TOC1">
    <w:name w:val="toc 1"/>
    <w:basedOn w:val="Normal"/>
    <w:next w:val="Normal"/>
    <w:autoRedefine/>
    <w:uiPriority w:val="39"/>
    <w:rsid w:val="00640461"/>
    <w:pPr>
      <w:tabs>
        <w:tab w:val="left" w:pos="0"/>
        <w:tab w:val="left" w:pos="432"/>
        <w:tab w:val="left" w:pos="810"/>
        <w:tab w:val="left" w:pos="864"/>
        <w:tab w:val="left" w:pos="1260"/>
        <w:tab w:val="right" w:leader="dot" w:pos="9350"/>
      </w:tabs>
      <w:spacing w:before="120" w:after="120"/>
    </w:pPr>
    <w:rPr>
      <w:rFonts w:ascii="Gill Sans MT" w:hAnsi="Gill Sans MT"/>
      <w:b/>
      <w:bCs/>
      <w:noProof/>
      <w:sz w:val="22"/>
      <w:szCs w:val="48"/>
    </w:rPr>
  </w:style>
  <w:style w:type="paragraph" w:styleId="TOC3">
    <w:name w:val="toc 3"/>
    <w:basedOn w:val="Normal"/>
    <w:next w:val="Normal"/>
    <w:autoRedefine/>
    <w:uiPriority w:val="39"/>
    <w:rsid w:val="00401A15"/>
    <w:pPr>
      <w:tabs>
        <w:tab w:val="left" w:pos="0"/>
        <w:tab w:val="left" w:pos="432"/>
        <w:tab w:val="left" w:pos="864"/>
        <w:tab w:val="left" w:pos="1260"/>
        <w:tab w:val="left" w:pos="1728"/>
        <w:tab w:val="left" w:pos="1904"/>
        <w:tab w:val="left" w:pos="2160"/>
        <w:tab w:val="left" w:pos="2340"/>
        <w:tab w:val="right" w:leader="dot" w:pos="9346"/>
      </w:tabs>
      <w:spacing w:after="60"/>
      <w:ind w:left="1051" w:hanging="331"/>
    </w:pPr>
    <w:rPr>
      <w:rFonts w:ascii="Gill Sans MT" w:hAnsi="Gill Sans MT"/>
      <w:noProof/>
      <w:sz w:val="22"/>
      <w:szCs w:val="18"/>
    </w:rPr>
  </w:style>
  <w:style w:type="paragraph" w:customStyle="1" w:styleId="Acronyms">
    <w:name w:val="Acronyms"/>
    <w:link w:val="AcronymsChar"/>
    <w:rsid w:val="00D73842"/>
    <w:pPr>
      <w:keepNext/>
      <w:tabs>
        <w:tab w:val="left" w:pos="2160"/>
        <w:tab w:val="left" w:pos="2880"/>
      </w:tabs>
      <w:spacing w:after="120"/>
      <w:ind w:left="360"/>
    </w:pPr>
    <w:rPr>
      <w:rFonts w:ascii="Garamond" w:hAnsi="Garamond"/>
      <w:snapToGrid w:val="0"/>
      <w:sz w:val="22"/>
    </w:rPr>
  </w:style>
  <w:style w:type="character" w:styleId="PageNumber">
    <w:name w:val="page number"/>
    <w:basedOn w:val="DefaultParagraphFont"/>
    <w:rsid w:val="00BB4B93"/>
    <w:rPr>
      <w:rFonts w:ascii="Gill Sans" w:hAnsi="Gill Sans"/>
      <w:sz w:val="18"/>
    </w:rPr>
  </w:style>
  <w:style w:type="paragraph" w:customStyle="1" w:styleId="TableTitle">
    <w:name w:val="Table Title"/>
    <w:link w:val="TableTitleChar"/>
    <w:autoRedefine/>
    <w:qFormat/>
    <w:rsid w:val="00E533F4"/>
    <w:pPr>
      <w:spacing w:before="240" w:after="60"/>
      <w:jc w:val="center"/>
    </w:pPr>
    <w:rPr>
      <w:rFonts w:ascii="Arial" w:hAnsi="Arial"/>
      <w:b/>
      <w:caps/>
      <w:noProof/>
    </w:rPr>
  </w:style>
  <w:style w:type="paragraph" w:customStyle="1" w:styleId="TableSubtitles">
    <w:name w:val="Table Subtitles"/>
    <w:link w:val="TableSubtitlesChar"/>
    <w:autoRedefine/>
    <w:qFormat/>
    <w:rsid w:val="00CB27D9"/>
    <w:pPr>
      <w:keepNext/>
      <w:keepLines/>
      <w:spacing w:before="80" w:after="40"/>
      <w:jc w:val="center"/>
    </w:pPr>
    <w:rPr>
      <w:rFonts w:ascii="Garamond" w:hAnsi="Garamond"/>
      <w:b/>
      <w:noProof/>
    </w:rPr>
  </w:style>
  <w:style w:type="paragraph" w:customStyle="1" w:styleId="TableBody">
    <w:name w:val="Table Body"/>
    <w:link w:val="TableBodyChar"/>
    <w:autoRedefine/>
    <w:qFormat/>
    <w:rsid w:val="00FB14F1"/>
    <w:pPr>
      <w:tabs>
        <w:tab w:val="left" w:pos="2610"/>
      </w:tabs>
      <w:jc w:val="center"/>
    </w:pPr>
    <w:rPr>
      <w:rFonts w:ascii="Garamond" w:hAnsi="Garamond"/>
      <w:noProof/>
      <w:sz w:val="22"/>
      <w:szCs w:val="22"/>
    </w:rPr>
  </w:style>
  <w:style w:type="paragraph" w:customStyle="1" w:styleId="TextBox">
    <w:name w:val="Text Box"/>
    <w:basedOn w:val="1-DocText"/>
    <w:pPr>
      <w:tabs>
        <w:tab w:val="left" w:pos="12060"/>
      </w:tabs>
      <w:spacing w:after="60"/>
    </w:pPr>
  </w:style>
  <w:style w:type="paragraph" w:styleId="Index1">
    <w:name w:val="index 1"/>
    <w:basedOn w:val="Normal"/>
    <w:autoRedefine/>
    <w:semiHidden/>
    <w:pPr>
      <w:spacing w:line="240" w:lineRule="atLeast"/>
      <w:ind w:left="360" w:hanging="360"/>
    </w:pPr>
    <w:rPr>
      <w:rFonts w:ascii="Arial" w:hAnsi="Arial"/>
      <w:spacing w:val="-5"/>
      <w:sz w:val="18"/>
      <w:szCs w:val="20"/>
    </w:rPr>
  </w:style>
  <w:style w:type="paragraph" w:styleId="Index2">
    <w:name w:val="index 2"/>
    <w:basedOn w:val="Normal"/>
    <w:autoRedefine/>
    <w:semiHidden/>
    <w:pPr>
      <w:ind w:left="720" w:hanging="360"/>
    </w:pPr>
    <w:rPr>
      <w:rFonts w:ascii="Arial" w:hAnsi="Arial"/>
      <w:spacing w:val="-5"/>
      <w:sz w:val="18"/>
      <w:szCs w:val="20"/>
    </w:rPr>
  </w:style>
  <w:style w:type="paragraph" w:styleId="Index3">
    <w:name w:val="index 3"/>
    <w:basedOn w:val="Normal"/>
    <w:autoRedefine/>
    <w:semiHidden/>
    <w:pPr>
      <w:ind w:left="1080" w:hanging="360"/>
    </w:pPr>
    <w:rPr>
      <w:rFonts w:ascii="Arial" w:hAnsi="Arial"/>
      <w:spacing w:val="-5"/>
      <w:sz w:val="18"/>
      <w:szCs w:val="20"/>
    </w:rPr>
  </w:style>
  <w:style w:type="paragraph" w:styleId="IndexHeading">
    <w:name w:val="index heading"/>
    <w:basedOn w:val="Normal"/>
    <w:next w:val="Index1"/>
    <w:semiHidden/>
    <w:pPr>
      <w:keepNext/>
      <w:spacing w:line="480" w:lineRule="atLeast"/>
    </w:pPr>
    <w:rPr>
      <w:rFonts w:ascii="Arial Black" w:hAnsi="Arial Black"/>
      <w:spacing w:val="-5"/>
      <w:szCs w:val="20"/>
    </w:rPr>
  </w:style>
  <w:style w:type="paragraph" w:customStyle="1" w:styleId="TitleCover">
    <w:name w:val="Title Cover"/>
    <w:basedOn w:val="Normal"/>
    <w:next w:val="Normal"/>
    <w:rsid w:val="00BB4B93"/>
    <w:pPr>
      <w:keepNext/>
      <w:keepLines/>
      <w:tabs>
        <w:tab w:val="left" w:pos="0"/>
      </w:tabs>
      <w:spacing w:before="240" w:after="500" w:line="640" w:lineRule="exact"/>
      <w:ind w:left="-840" w:right="-840"/>
    </w:pPr>
    <w:rPr>
      <w:rFonts w:ascii="Gill Sans" w:hAnsi="Gill Sans"/>
      <w:b/>
      <w:caps/>
      <w:color w:val="FFFFFF"/>
      <w:spacing w:val="-48"/>
      <w:kern w:val="28"/>
      <w:sz w:val="48"/>
      <w:szCs w:val="20"/>
    </w:rPr>
  </w:style>
  <w:style w:type="paragraph" w:styleId="TableofFigures">
    <w:name w:val="table of figures"/>
    <w:basedOn w:val="Normal"/>
    <w:next w:val="Normal"/>
    <w:autoRedefine/>
    <w:uiPriority w:val="99"/>
    <w:rsid w:val="00640461"/>
    <w:pPr>
      <w:tabs>
        <w:tab w:val="right" w:leader="dot" w:pos="9350"/>
      </w:tabs>
      <w:ind w:left="403" w:hanging="403"/>
    </w:pPr>
    <w:rPr>
      <w:rFonts w:ascii="Gill Sans" w:hAnsi="Gill Sans"/>
      <w:sz w:val="22"/>
      <w:szCs w:val="20"/>
    </w:rPr>
  </w:style>
  <w:style w:type="paragraph" w:customStyle="1" w:styleId="1-Bullet2">
    <w:name w:val="1-Bullet2"/>
    <w:autoRedefine/>
    <w:qFormat/>
    <w:rsid w:val="008D6F3B"/>
    <w:pPr>
      <w:numPr>
        <w:ilvl w:val="1"/>
        <w:numId w:val="33"/>
      </w:numPr>
      <w:tabs>
        <w:tab w:val="left" w:pos="5320"/>
      </w:tabs>
      <w:spacing w:before="120" w:after="120"/>
      <w:contextualSpacing/>
    </w:pPr>
    <w:rPr>
      <w:rFonts w:ascii="Garamond" w:hAnsi="Garamond"/>
      <w:noProof/>
      <w:sz w:val="22"/>
    </w:rPr>
  </w:style>
  <w:style w:type="paragraph" w:styleId="Bibliography">
    <w:name w:val="Bibliography"/>
    <w:basedOn w:val="1-DocText"/>
    <w:link w:val="BibliographyChar"/>
    <w:pPr>
      <w:spacing w:after="240"/>
      <w:ind w:left="432" w:hanging="432"/>
    </w:pPr>
  </w:style>
  <w:style w:type="paragraph" w:customStyle="1" w:styleId="FootnoteBase">
    <w:name w:val="Footnote Base"/>
    <w:basedOn w:val="Normal"/>
    <w:autoRedefine/>
    <w:rsid w:val="00CF7663"/>
    <w:pPr>
      <w:keepLines/>
      <w:spacing w:line="200" w:lineRule="atLeast"/>
      <w:ind w:left="720"/>
    </w:pPr>
    <w:rPr>
      <w:rFonts w:ascii="Garamond" w:hAnsi="Garamond"/>
      <w:spacing w:val="-5"/>
      <w:sz w:val="14"/>
      <w:szCs w:val="20"/>
    </w:rPr>
  </w:style>
  <w:style w:type="paragraph" w:customStyle="1" w:styleId="1-DocTextBold">
    <w:name w:val="1-DocText Bold"/>
    <w:basedOn w:val="1-DocText"/>
    <w:rPr>
      <w:b/>
    </w:rPr>
  </w:style>
  <w:style w:type="paragraph" w:customStyle="1" w:styleId="1-BulletItal">
    <w:name w:val="1-Bullet Ital"/>
    <w:basedOn w:val="Normal"/>
    <w:pPr>
      <w:widowControl w:val="0"/>
      <w:tabs>
        <w:tab w:val="left" w:pos="0"/>
        <w:tab w:val="left" w:pos="432"/>
        <w:tab w:val="num" w:pos="11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before="120" w:after="120"/>
      <w:ind w:left="1152" w:hanging="432"/>
    </w:pPr>
    <w:rPr>
      <w:rFonts w:ascii="Gill Sans" w:hAnsi="Gill Sans"/>
      <w:i/>
      <w:snapToGrid w:val="0"/>
      <w:sz w:val="22"/>
      <w:szCs w:val="20"/>
    </w:rPr>
  </w:style>
  <w:style w:type="paragraph" w:customStyle="1" w:styleId="FigureTitle">
    <w:name w:val="Figure Title"/>
    <w:basedOn w:val="TableTitle"/>
    <w:autoRedefine/>
    <w:rsid w:val="00CA5B44"/>
    <w:rPr>
      <w:bCs/>
    </w:rPr>
  </w:style>
  <w:style w:type="paragraph" w:customStyle="1" w:styleId="FigureHead">
    <w:name w:val="Figure Head"/>
    <w:basedOn w:val="TableSubtitles"/>
  </w:style>
  <w:style w:type="paragraph" w:customStyle="1" w:styleId="FigureBody">
    <w:name w:val="Figure Body"/>
    <w:basedOn w:val="TableBody"/>
    <w:rPr>
      <w:rFonts w:ascii="Gill Sans MT" w:hAnsi="Gill Sans MT"/>
      <w:bCs/>
    </w:rPr>
  </w:style>
  <w:style w:type="paragraph" w:styleId="Caption">
    <w:name w:val="caption"/>
    <w:basedOn w:val="Normal"/>
    <w:next w:val="Normal"/>
    <w:autoRedefine/>
    <w:qFormat/>
    <w:rsid w:val="00612671"/>
    <w:pPr>
      <w:keepNext/>
      <w:keepLines/>
    </w:pPr>
    <w:rPr>
      <w:b/>
    </w:rPr>
  </w:style>
  <w:style w:type="paragraph" w:styleId="EndnoteText">
    <w:name w:val="endnote text"/>
    <w:basedOn w:val="Normal"/>
    <w:semiHidden/>
    <w:rPr>
      <w:rFonts w:ascii="Garamond" w:hAnsi="Garamond"/>
      <w:sz w:val="20"/>
      <w:szCs w:val="20"/>
    </w:rPr>
  </w:style>
  <w:style w:type="paragraph" w:customStyle="1" w:styleId="AuthName">
    <w:name w:val="Auth. Name"/>
    <w:basedOn w:val="Normal"/>
    <w:autoRedefine/>
    <w:rsid w:val="00CA5B44"/>
    <w:pPr>
      <w:jc w:val="center"/>
    </w:pPr>
    <w:rPr>
      <w:rFonts w:ascii="Garamond" w:hAnsi="Garamond"/>
      <w:sz w:val="20"/>
      <w:szCs w:val="20"/>
    </w:rPr>
  </w:style>
  <w:style w:type="paragraph" w:customStyle="1" w:styleId="AuthTitle">
    <w:name w:val="Auth. Title"/>
    <w:basedOn w:val="AuthName"/>
    <w:rPr>
      <w:sz w:val="18"/>
    </w:rPr>
  </w:style>
  <w:style w:type="paragraph" w:customStyle="1" w:styleId="TechNo">
    <w:name w:val="Tech No."/>
    <w:basedOn w:val="Normal"/>
    <w:rPr>
      <w:rFonts w:ascii="Gill Sans MT" w:hAnsi="Gill Sans MT"/>
      <w:b/>
      <w:i/>
      <w:sz w:val="22"/>
      <w:szCs w:val="20"/>
    </w:rPr>
  </w:style>
  <w:style w:type="paragraph" w:customStyle="1" w:styleId="TechTitleTitlePage">
    <w:name w:val="Tech Title Title Page"/>
    <w:rsid w:val="00D73842"/>
    <w:rPr>
      <w:rFonts w:ascii="Arial" w:hAnsi="Arial"/>
      <w:caps/>
      <w:noProof/>
      <w:color w:val="002A6C"/>
      <w:sz w:val="60"/>
    </w:rPr>
  </w:style>
  <w:style w:type="paragraph" w:customStyle="1" w:styleId="by">
    <w:name w:val="by"/>
    <w:basedOn w:val="Normal"/>
    <w:pPr>
      <w:jc w:val="center"/>
    </w:pPr>
    <w:rPr>
      <w:rFonts w:ascii="Arial" w:hAnsi="Arial"/>
      <w:sz w:val="20"/>
      <w:szCs w:val="20"/>
    </w:rPr>
  </w:style>
  <w:style w:type="paragraph" w:customStyle="1" w:styleId="Missionstatement">
    <w:name w:val="Mission statement"/>
    <w:basedOn w:val="1-DocText"/>
    <w:autoRedefine/>
    <w:rPr>
      <w:i/>
    </w:rPr>
  </w:style>
  <w:style w:type="paragraph" w:customStyle="1" w:styleId="MissionStatement0">
    <w:name w:val="Mission Statement"/>
    <w:basedOn w:val="1-DocText"/>
    <w:rPr>
      <w:rFonts w:ascii="Arial" w:hAnsi="Arial"/>
      <w:i/>
      <w:sz w:val="18"/>
    </w:rPr>
  </w:style>
  <w:style w:type="paragraph" w:customStyle="1" w:styleId="TableBullet">
    <w:name w:val="Table Bullet"/>
    <w:basedOn w:val="1-Bullet"/>
    <w:rsid w:val="00BB4B93"/>
    <w:pPr>
      <w:numPr>
        <w:numId w:val="3"/>
      </w:numPr>
      <w:spacing w:before="40"/>
    </w:pPr>
    <w:rPr>
      <w:sz w:val="20"/>
    </w:rPr>
  </w:style>
  <w:style w:type="paragraph" w:styleId="BalloonText">
    <w:name w:val="Balloon Text"/>
    <w:basedOn w:val="Normal"/>
    <w:semiHidden/>
    <w:rPr>
      <w:rFonts w:ascii="Tahoma" w:hAnsi="Tahoma"/>
      <w:sz w:val="16"/>
      <w:szCs w:val="20"/>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rFonts w:ascii="Garamond" w:hAnsi="Garamond"/>
      <w:sz w:val="20"/>
      <w:szCs w:val="20"/>
    </w:rPr>
  </w:style>
  <w:style w:type="paragraph" w:customStyle="1" w:styleId="TechTitleFrontCover">
    <w:name w:val="Tech Title Front Cover"/>
    <w:basedOn w:val="TechTitleTitlePage"/>
    <w:rsid w:val="00D73842"/>
    <w:rPr>
      <w:color w:val="C2113A"/>
    </w:rPr>
  </w:style>
  <w:style w:type="paragraph" w:customStyle="1" w:styleId="Missionpagetext">
    <w:name w:val="Mission page text"/>
    <w:basedOn w:val="1-DocText"/>
    <w:link w:val="MissionpagetextChar"/>
    <w:rsid w:val="00D81B60"/>
    <w:rPr>
      <w:sz w:val="20"/>
    </w:rPr>
  </w:style>
  <w:style w:type="paragraph" w:customStyle="1" w:styleId="Missionpagetextbold">
    <w:name w:val="Mission page text bold"/>
    <w:basedOn w:val="1-DocText"/>
    <w:link w:val="MissionpagetextboldChar"/>
    <w:rsid w:val="0089422D"/>
    <w:rPr>
      <w:b/>
      <w:sz w:val="20"/>
    </w:rPr>
  </w:style>
  <w:style w:type="character" w:customStyle="1" w:styleId="1-DocTextChar">
    <w:name w:val="1-DocText Char"/>
    <w:basedOn w:val="DefaultParagraphFont"/>
    <w:link w:val="1-DocText"/>
    <w:rsid w:val="00E3773F"/>
    <w:rPr>
      <w:rFonts w:ascii="Garamond" w:hAnsi="Garamond"/>
      <w:bCs/>
      <w:color w:val="000000"/>
      <w:sz w:val="22"/>
      <w:szCs w:val="22"/>
    </w:rPr>
  </w:style>
  <w:style w:type="character" w:customStyle="1" w:styleId="MissionpagetextboldChar">
    <w:name w:val="Mission page text bold Char"/>
    <w:basedOn w:val="1-DocTextChar"/>
    <w:link w:val="Missionpagetextbold"/>
    <w:rsid w:val="0089422D"/>
    <w:rPr>
      <w:rFonts w:ascii="Gill Sans" w:hAnsi="Gill Sans" w:cs="Calibri"/>
      <w:b/>
      <w:bCs/>
      <w:color w:val="000000"/>
      <w:sz w:val="22"/>
      <w:szCs w:val="22"/>
    </w:rPr>
  </w:style>
  <w:style w:type="character" w:customStyle="1" w:styleId="MissionpagetextChar">
    <w:name w:val="Mission page text Char"/>
    <w:basedOn w:val="1-DocTextChar"/>
    <w:link w:val="Missionpagetext"/>
    <w:rsid w:val="00D81B60"/>
    <w:rPr>
      <w:rFonts w:ascii="Gill Sans" w:hAnsi="Gill Sans" w:cs="Calibri"/>
      <w:b w:val="0"/>
      <w:bCs/>
      <w:color w:val="000000"/>
      <w:sz w:val="22"/>
      <w:szCs w:val="22"/>
    </w:rPr>
  </w:style>
  <w:style w:type="paragraph" w:customStyle="1" w:styleId="AcronymsBold">
    <w:name w:val="Acronyms Bold"/>
    <w:basedOn w:val="Acronyms"/>
    <w:link w:val="AcronymsBoldChar"/>
    <w:rsid w:val="008B0066"/>
    <w:rPr>
      <w:b/>
      <w:bCs/>
    </w:rPr>
  </w:style>
  <w:style w:type="character" w:customStyle="1" w:styleId="AcronymsChar">
    <w:name w:val="Acronyms Char"/>
    <w:basedOn w:val="DefaultParagraphFont"/>
    <w:link w:val="Acronyms"/>
    <w:rsid w:val="00D73842"/>
    <w:rPr>
      <w:rFonts w:ascii="Garamond" w:hAnsi="Garamond"/>
      <w:snapToGrid w:val="0"/>
      <w:sz w:val="22"/>
    </w:rPr>
  </w:style>
  <w:style w:type="character" w:customStyle="1" w:styleId="AcronymsBoldChar">
    <w:name w:val="Acronyms Bold Char"/>
    <w:basedOn w:val="AcronymsChar"/>
    <w:link w:val="AcronymsBold"/>
    <w:rsid w:val="008B0066"/>
    <w:rPr>
      <w:rFonts w:ascii="Gill Sans" w:hAnsi="Gill Sans"/>
      <w:b/>
      <w:bCs/>
      <w:snapToGrid w:val="0"/>
      <w:sz w:val="22"/>
      <w:lang w:val="en-US" w:eastAsia="en-US" w:bidi="ar-SA"/>
    </w:rPr>
  </w:style>
  <w:style w:type="paragraph" w:customStyle="1" w:styleId="AcronymsItalic">
    <w:name w:val="Acronyms Italic"/>
    <w:basedOn w:val="Acronyms"/>
    <w:link w:val="AcronymsItalicCharChar"/>
    <w:rsid w:val="008B0066"/>
    <w:rPr>
      <w:i/>
      <w:iCs/>
    </w:rPr>
  </w:style>
  <w:style w:type="character" w:customStyle="1" w:styleId="AcronymsItalicCharChar">
    <w:name w:val="Acronyms Italic Char Char"/>
    <w:basedOn w:val="AcronymsChar"/>
    <w:link w:val="AcronymsItalic"/>
    <w:rsid w:val="008B0066"/>
    <w:rPr>
      <w:rFonts w:ascii="Gill Sans" w:hAnsi="Gill Sans"/>
      <w:i/>
      <w:iCs/>
      <w:snapToGrid w:val="0"/>
      <w:sz w:val="22"/>
      <w:lang w:val="en-US" w:eastAsia="en-US" w:bidi="ar-SA"/>
    </w:rPr>
  </w:style>
  <w:style w:type="paragraph" w:customStyle="1" w:styleId="BibligraphyItalic">
    <w:name w:val="Bibligraphy Italic"/>
    <w:basedOn w:val="Bibliography"/>
    <w:link w:val="BibligraphyItalicChar"/>
    <w:rsid w:val="00CA5B44"/>
    <w:rPr>
      <w:i/>
      <w:iCs/>
    </w:rPr>
  </w:style>
  <w:style w:type="character" w:customStyle="1" w:styleId="BibliographyChar">
    <w:name w:val="Bibliography Char"/>
    <w:basedOn w:val="1-DocTextChar"/>
    <w:link w:val="Bibliography"/>
    <w:rsid w:val="00716DB4"/>
    <w:rPr>
      <w:rFonts w:ascii="Gill Sans" w:hAnsi="Gill Sans" w:cs="Calibri"/>
      <w:b w:val="0"/>
      <w:bCs/>
      <w:color w:val="000000"/>
      <w:sz w:val="22"/>
      <w:szCs w:val="22"/>
    </w:rPr>
  </w:style>
  <w:style w:type="character" w:customStyle="1" w:styleId="BibligraphyItalicChar">
    <w:name w:val="Bibligraphy Italic Char"/>
    <w:basedOn w:val="BibliographyChar"/>
    <w:link w:val="BibligraphyItalic"/>
    <w:rsid w:val="00CA5B44"/>
    <w:rPr>
      <w:rFonts w:ascii="Garamond" w:hAnsi="Garamond" w:cs="Calibri"/>
      <w:b w:val="0"/>
      <w:bCs/>
      <w:i/>
      <w:iCs/>
      <w:color w:val="000000"/>
      <w:sz w:val="22"/>
      <w:szCs w:val="22"/>
    </w:rPr>
  </w:style>
  <w:style w:type="paragraph" w:customStyle="1" w:styleId="TableNumbers">
    <w:name w:val="Table Numbers"/>
    <w:basedOn w:val="TableBody"/>
    <w:autoRedefine/>
    <w:rsid w:val="00CF7663"/>
    <w:pPr>
      <w:ind w:right="72"/>
      <w:jc w:val="right"/>
    </w:pPr>
  </w:style>
  <w:style w:type="table" w:customStyle="1" w:styleId="TableGridlinesStyles">
    <w:name w:val="Table Gridlines &amp; Styles"/>
    <w:basedOn w:val="TableNormal"/>
    <w:rsid w:val="00597896"/>
    <w:rPr>
      <w:rFonts w:ascii="Gill Sans" w:hAnsi="Gill Sans"/>
    </w:rPr>
    <w:tblPr>
      <w:tblBorders>
        <w:top w:val="single" w:sz="8" w:space="0" w:color="002A6C"/>
        <w:bottom w:val="single" w:sz="8" w:space="0" w:color="002A6C"/>
        <w:insideH w:val="single" w:sz="2" w:space="0" w:color="002A6C"/>
        <w:insideV w:val="single" w:sz="2" w:space="0" w:color="002A6C"/>
      </w:tblBorders>
      <w:tblCellMar>
        <w:top w:w="29" w:type="dxa"/>
        <w:left w:w="29" w:type="dxa"/>
        <w:bottom w:w="29" w:type="dxa"/>
        <w:right w:w="29" w:type="dxa"/>
      </w:tblCellMar>
    </w:tblPr>
    <w:tblStylePr w:type="firstRow">
      <w:pPr>
        <w:jc w:val="center"/>
      </w:pPr>
      <w:rPr>
        <w:rFonts w:ascii="Noto Sans Symbols" w:hAnsi="Noto Sans Symbols"/>
        <w:b/>
        <w:sz w:val="20"/>
      </w:rPr>
    </w:tblStylePr>
  </w:style>
  <w:style w:type="paragraph" w:styleId="Header">
    <w:name w:val="header"/>
    <w:basedOn w:val="Normal"/>
    <w:rsid w:val="00A92B74"/>
    <w:pPr>
      <w:tabs>
        <w:tab w:val="center" w:pos="4320"/>
        <w:tab w:val="right" w:pos="8640"/>
      </w:tabs>
    </w:pPr>
    <w:rPr>
      <w:rFonts w:ascii="Garamond" w:hAnsi="Garamond"/>
      <w:sz w:val="22"/>
      <w:szCs w:val="20"/>
    </w:rPr>
  </w:style>
  <w:style w:type="paragraph" w:customStyle="1" w:styleId="ContentsTitle">
    <w:name w:val="Contents Title"/>
    <w:basedOn w:val="Heading0"/>
    <w:link w:val="ContentsTitleChar"/>
    <w:autoRedefine/>
    <w:qFormat/>
    <w:rsid w:val="00801CE2"/>
    <w:pPr>
      <w:outlineLvl w:val="9"/>
    </w:pPr>
  </w:style>
  <w:style w:type="character" w:customStyle="1" w:styleId="Heading0Char">
    <w:name w:val="Heading 0 Char"/>
    <w:basedOn w:val="DefaultParagraphFont"/>
    <w:link w:val="Heading0"/>
    <w:rsid w:val="004D2200"/>
    <w:rPr>
      <w:rFonts w:ascii="Arial" w:hAnsi="Arial"/>
      <w:smallCaps/>
      <w:snapToGrid w:val="0"/>
      <w:color w:val="C2113A"/>
      <w:sz w:val="60"/>
      <w:shd w:val="clear" w:color="000000" w:fill="auto"/>
    </w:rPr>
  </w:style>
  <w:style w:type="character" w:customStyle="1" w:styleId="ContentsTitleChar">
    <w:name w:val="Contents Title Char"/>
    <w:basedOn w:val="Heading0Char"/>
    <w:link w:val="ContentsTitle"/>
    <w:rsid w:val="00801CE2"/>
    <w:rPr>
      <w:rFonts w:ascii="Arial" w:hAnsi="Arial"/>
      <w:smallCaps/>
      <w:snapToGrid w:val="0"/>
      <w:color w:val="C2113A"/>
      <w:sz w:val="60"/>
      <w:shd w:val="clear" w:color="000000" w:fill="auto"/>
    </w:rPr>
  </w:style>
  <w:style w:type="character" w:customStyle="1" w:styleId="FooterChar">
    <w:name w:val="Footer Char"/>
    <w:link w:val="Footer"/>
    <w:uiPriority w:val="99"/>
    <w:rsid w:val="00852F2D"/>
    <w:rPr>
      <w:rFonts w:ascii="Garamond" w:hAnsi="Garamond"/>
      <w:sz w:val="18"/>
    </w:rPr>
  </w:style>
  <w:style w:type="paragraph" w:customStyle="1" w:styleId="MissionPage">
    <w:name w:val="Mission Page"/>
    <w:link w:val="MissionPageChar"/>
    <w:autoRedefine/>
    <w:qFormat/>
    <w:rsid w:val="00CA5B44"/>
    <w:pPr>
      <w:spacing w:before="120" w:after="120"/>
      <w:jc w:val="both"/>
    </w:pPr>
    <w:rPr>
      <w:rFonts w:ascii="Garamond" w:hAnsi="Garamond"/>
    </w:rPr>
  </w:style>
  <w:style w:type="character" w:customStyle="1" w:styleId="MissionPageChar">
    <w:name w:val="Mission Page Char"/>
    <w:link w:val="MissionPage"/>
    <w:rsid w:val="00CA5B44"/>
    <w:rPr>
      <w:rFonts w:ascii="Garamond" w:hAnsi="Garamond"/>
    </w:rPr>
  </w:style>
  <w:style w:type="table" w:styleId="TableGrid">
    <w:name w:val="Table Grid"/>
    <w:basedOn w:val="TableNormal"/>
    <w:rsid w:val="00B3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
    <w:basedOn w:val="DefaultParagraphFont"/>
    <w:link w:val="FootnoteText"/>
    <w:uiPriority w:val="99"/>
    <w:rsid w:val="006E271D"/>
    <w:rPr>
      <w:rFonts w:ascii="Gill Sans" w:hAnsi="Gill Sans"/>
      <w:sz w:val="18"/>
      <w:lang w:val="en-GB"/>
    </w:rPr>
  </w:style>
  <w:style w:type="character" w:customStyle="1" w:styleId="CommentTextChar">
    <w:name w:val="Comment Text Char"/>
    <w:basedOn w:val="DefaultParagraphFont"/>
    <w:link w:val="CommentText"/>
    <w:uiPriority w:val="99"/>
    <w:semiHidden/>
    <w:rsid w:val="003A5CBD"/>
    <w:rPr>
      <w:rFonts w:ascii="Garamond" w:hAnsi="Garamond"/>
    </w:rPr>
  </w:style>
  <w:style w:type="paragraph" w:styleId="ListParagraph">
    <w:name w:val="List Paragraph"/>
    <w:basedOn w:val="Normal"/>
    <w:uiPriority w:val="34"/>
    <w:qFormat/>
    <w:rsid w:val="00DF506B"/>
    <w:pPr>
      <w:ind w:left="720"/>
      <w:contextualSpacing/>
    </w:pPr>
    <w:rPr>
      <w:rFonts w:ascii="Garamond" w:hAnsi="Garamond"/>
      <w:sz w:val="22"/>
      <w:szCs w:val="20"/>
    </w:rPr>
  </w:style>
  <w:style w:type="paragraph" w:styleId="NoSpacing">
    <w:name w:val="No Spacing"/>
    <w:uiPriority w:val="1"/>
    <w:qFormat/>
    <w:rsid w:val="00F3101A"/>
    <w:rPr>
      <w:rFonts w:asciiTheme="minorHAnsi" w:eastAsiaTheme="minorHAnsi" w:hAnsiTheme="minorHAnsi" w:cstheme="minorBidi"/>
      <w:sz w:val="22"/>
      <w:szCs w:val="22"/>
    </w:rPr>
  </w:style>
  <w:style w:type="character" w:customStyle="1" w:styleId="ts-alignment-element">
    <w:name w:val="ts-alignment-element"/>
    <w:basedOn w:val="DefaultParagraphFont"/>
    <w:rsid w:val="00F3101A"/>
  </w:style>
  <w:style w:type="paragraph" w:styleId="NormalWeb">
    <w:name w:val="Normal (Web)"/>
    <w:basedOn w:val="Normal"/>
    <w:uiPriority w:val="99"/>
    <w:semiHidden/>
    <w:unhideWhenUsed/>
    <w:rsid w:val="006E73E0"/>
    <w:pPr>
      <w:spacing w:before="100" w:beforeAutospacing="1" w:after="100" w:afterAutospacing="1"/>
    </w:pPr>
  </w:style>
  <w:style w:type="character" w:styleId="Hyperlink">
    <w:name w:val="Hyperlink"/>
    <w:basedOn w:val="DefaultParagraphFont"/>
    <w:uiPriority w:val="99"/>
    <w:unhideWhenUsed/>
    <w:rsid w:val="00D2051B"/>
    <w:rPr>
      <w:color w:val="0000FF" w:themeColor="hyperlink"/>
      <w:u w:val="single"/>
    </w:rPr>
  </w:style>
  <w:style w:type="table" w:customStyle="1" w:styleId="GridTable2-Accent11">
    <w:name w:val="Grid Table 2 - Accent 11"/>
    <w:basedOn w:val="TableNormal"/>
    <w:uiPriority w:val="47"/>
    <w:rsid w:val="006C300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1">
    <w:name w:val="Grid Table 21"/>
    <w:basedOn w:val="TableNormal"/>
    <w:uiPriority w:val="47"/>
    <w:rsid w:val="006C30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21">
    <w:name w:val="Grid Table 2 - Accent 21"/>
    <w:basedOn w:val="TableNormal"/>
    <w:uiPriority w:val="47"/>
    <w:rsid w:val="006C300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41">
    <w:name w:val="Grid Table 1 Light - Accent 41"/>
    <w:basedOn w:val="TableNormal"/>
    <w:uiPriority w:val="46"/>
    <w:rsid w:val="006C300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C30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Preformatted">
    <w:name w:val="HTML Preformatted"/>
    <w:basedOn w:val="Normal"/>
    <w:link w:val="HTMLPreformattedChar"/>
    <w:uiPriority w:val="99"/>
    <w:unhideWhenUsed/>
    <w:rsid w:val="001B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679B"/>
    <w:rPr>
      <w:rFonts w:ascii="Courier New" w:hAnsi="Courier New" w:cs="Courier New"/>
    </w:rPr>
  </w:style>
  <w:style w:type="paragraph" w:customStyle="1" w:styleId="BVIfnrCarCarCarCarChar">
    <w:name w:val="BVI fnr Car Car Car Car Char"/>
    <w:aliases w:val=" BVI fnr תו Char,BVI fnr תו Char, BVI fnr Car Car תו Char,BVI fnr Car תו Char, BVI fnr Car Car Car Car Char תו תו Char Char,BVI fnr Car Car תו Char,BVI fnr Car Car Car Car Char תו תו Char Char"/>
    <w:basedOn w:val="Normal"/>
    <w:link w:val="FootnoteReference"/>
    <w:uiPriority w:val="99"/>
    <w:rsid w:val="00B01F99"/>
    <w:pPr>
      <w:spacing w:after="160" w:line="240" w:lineRule="exact"/>
      <w:jc w:val="both"/>
    </w:pPr>
    <w:rPr>
      <w:sz w:val="16"/>
      <w:szCs w:val="20"/>
      <w:vertAlign w:val="superscript"/>
    </w:rPr>
  </w:style>
  <w:style w:type="character" w:customStyle="1" w:styleId="apple-converted-space">
    <w:name w:val="apple-converted-space"/>
    <w:basedOn w:val="DefaultParagraphFont"/>
    <w:rsid w:val="00DB5A02"/>
  </w:style>
  <w:style w:type="paragraph" w:styleId="CommentSubject">
    <w:name w:val="annotation subject"/>
    <w:basedOn w:val="CommentText"/>
    <w:next w:val="CommentText"/>
    <w:link w:val="CommentSubjectChar"/>
    <w:semiHidden/>
    <w:unhideWhenUsed/>
    <w:rsid w:val="00E4505B"/>
    <w:rPr>
      <w:b/>
      <w:bCs/>
    </w:rPr>
  </w:style>
  <w:style w:type="character" w:customStyle="1" w:styleId="CommentSubjectChar">
    <w:name w:val="Comment Subject Char"/>
    <w:basedOn w:val="CommentTextChar"/>
    <w:link w:val="CommentSubject"/>
    <w:semiHidden/>
    <w:rsid w:val="00E4505B"/>
    <w:rPr>
      <w:rFonts w:ascii="Garamond" w:hAnsi="Garamond"/>
      <w:b/>
      <w:bCs/>
    </w:rPr>
  </w:style>
  <w:style w:type="paragraph" w:styleId="Revision">
    <w:name w:val="Revision"/>
    <w:hidden/>
    <w:uiPriority w:val="99"/>
    <w:semiHidden/>
    <w:rsid w:val="003D3107"/>
    <w:rPr>
      <w:rFonts w:ascii="Garamond" w:hAnsi="Garamond"/>
      <w:sz w:val="22"/>
    </w:rPr>
  </w:style>
  <w:style w:type="paragraph" w:styleId="TOCHeading">
    <w:name w:val="TOC Heading"/>
    <w:basedOn w:val="Heading1"/>
    <w:next w:val="Normal"/>
    <w:uiPriority w:val="39"/>
    <w:unhideWhenUsed/>
    <w:qFormat/>
    <w:rsid w:val="00801CE2"/>
    <w:pPr>
      <w:keepLines/>
      <w:numPr>
        <w:numId w:val="0"/>
      </w:numPr>
      <w:pBdr>
        <w:bottom w:val="none" w:sz="0" w:space="0" w:color="auto"/>
      </w:pBdr>
      <w:shd w:val="clear" w:color="auto" w:fill="auto"/>
      <w:tabs>
        <w:tab w:val="clear" w:pos="0"/>
        <w:tab w:val="clear" w:pos="720"/>
      </w:tabs>
      <w:spacing w:before="240" w:after="0" w:line="259" w:lineRule="auto"/>
      <w:jc w:val="left"/>
      <w:outlineLvl w:val="9"/>
    </w:pPr>
    <w:rPr>
      <w:rFonts w:asciiTheme="majorHAnsi" w:eastAsiaTheme="majorEastAsia" w:hAnsiTheme="majorHAnsi" w:cstheme="majorBidi"/>
      <w:smallCaps w:val="0"/>
      <w:snapToGrid/>
      <w:color w:val="365F91" w:themeColor="accent1" w:themeShade="BF"/>
      <w:sz w:val="32"/>
      <w:szCs w:val="32"/>
    </w:rPr>
  </w:style>
  <w:style w:type="table" w:customStyle="1" w:styleId="GridTable5Dark-Accent11">
    <w:name w:val="Grid Table 5 Dark - Accent 11"/>
    <w:basedOn w:val="TableNormal"/>
    <w:uiPriority w:val="50"/>
    <w:rsid w:val="002D21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4-Accent11">
    <w:name w:val="List Table 4 - Accent 11"/>
    <w:basedOn w:val="TableNormal"/>
    <w:uiPriority w:val="49"/>
    <w:rsid w:val="00750D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11">
    <w:name w:val="List Table 1 Light - Accent 11"/>
    <w:basedOn w:val="TableNormal"/>
    <w:uiPriority w:val="46"/>
    <w:rsid w:val="00C42F6F"/>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0430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F778C9"/>
    <w:rPr>
      <w:i/>
      <w:iCs/>
    </w:rPr>
  </w:style>
  <w:style w:type="table" w:customStyle="1" w:styleId="GridTable4-Accent12">
    <w:name w:val="Grid Table 4 - Accent 12"/>
    <w:basedOn w:val="TableNormal"/>
    <w:uiPriority w:val="49"/>
    <w:rsid w:val="00D514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2">
    <w:name w:val="List Table 4 - Accent 12"/>
    <w:basedOn w:val="TableNormal"/>
    <w:uiPriority w:val="49"/>
    <w:rsid w:val="00D514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514A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12">
    <w:name w:val="Grid Table 5 Dark - Accent 12"/>
    <w:basedOn w:val="TableNormal"/>
    <w:uiPriority w:val="50"/>
    <w:rsid w:val="00A439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semiHidden/>
    <w:unhideWhenUsed/>
    <w:rsid w:val="004D411A"/>
    <w:rPr>
      <w:color w:val="800080" w:themeColor="followedHyperlink"/>
      <w:u w:val="single"/>
    </w:rPr>
  </w:style>
  <w:style w:type="character" w:customStyle="1" w:styleId="UnresolvedMention1">
    <w:name w:val="Unresolved Mention1"/>
    <w:basedOn w:val="DefaultParagraphFont"/>
    <w:uiPriority w:val="99"/>
    <w:semiHidden/>
    <w:unhideWhenUsed/>
    <w:rsid w:val="00D91DDA"/>
    <w:rPr>
      <w:color w:val="605E5C"/>
      <w:shd w:val="clear" w:color="auto" w:fill="E1DFDD"/>
    </w:rPr>
  </w:style>
  <w:style w:type="character" w:styleId="Strong">
    <w:name w:val="Strong"/>
    <w:basedOn w:val="DefaultParagraphFont"/>
    <w:uiPriority w:val="22"/>
    <w:qFormat/>
    <w:rsid w:val="00D91DDA"/>
    <w:rPr>
      <w:b/>
      <w:bCs/>
    </w:rPr>
  </w:style>
  <w:style w:type="character" w:customStyle="1" w:styleId="Heading5Char">
    <w:name w:val="Heading 5 Char"/>
    <w:basedOn w:val="DefaultParagraphFont"/>
    <w:link w:val="Heading5"/>
    <w:rsid w:val="00316D0A"/>
    <w:rPr>
      <w:rFonts w:ascii="Arial" w:hAnsi="Arial"/>
      <w:b/>
      <w:i/>
      <w:smallCaps/>
      <w:snapToGrid w:val="0"/>
      <w:color w:val="002A6C"/>
      <w:sz w:val="24"/>
      <w:u w:color="808080"/>
      <w:shd w:val="clear" w:color="C0C0C0" w:fill="FFFFFF"/>
    </w:rPr>
  </w:style>
  <w:style w:type="character" w:customStyle="1" w:styleId="TableTitleChar">
    <w:name w:val="Table Title Char"/>
    <w:link w:val="TableTitle"/>
    <w:rsid w:val="00E533F4"/>
    <w:rPr>
      <w:rFonts w:ascii="Arial" w:hAnsi="Arial"/>
      <w:b/>
      <w:caps/>
      <w:noProof/>
    </w:rPr>
  </w:style>
  <w:style w:type="character" w:customStyle="1" w:styleId="TableSubtitlesChar">
    <w:name w:val="Table Subtitles Char"/>
    <w:basedOn w:val="1-DocTextChar"/>
    <w:link w:val="TableSubtitles"/>
    <w:rsid w:val="00CB27D9"/>
    <w:rPr>
      <w:rFonts w:ascii="Garamond" w:hAnsi="Garamond"/>
      <w:b/>
      <w:bCs/>
      <w:noProof/>
      <w:color w:val="000000"/>
      <w:sz w:val="22"/>
      <w:szCs w:val="22"/>
    </w:rPr>
  </w:style>
  <w:style w:type="character" w:customStyle="1" w:styleId="TableBodyChar">
    <w:name w:val="Table Body Char"/>
    <w:basedOn w:val="1-DocTextChar"/>
    <w:link w:val="TableBody"/>
    <w:rsid w:val="00FB14F1"/>
    <w:rPr>
      <w:rFonts w:ascii="Garamond" w:hAnsi="Garamond"/>
      <w:b/>
      <w:bCs/>
      <w:noProof/>
      <w:color w:val="000000"/>
      <w:sz w:val="22"/>
      <w:szCs w:val="22"/>
    </w:rPr>
  </w:style>
  <w:style w:type="paragraph" w:customStyle="1" w:styleId="TableNumber">
    <w:name w:val="Table Number"/>
    <w:basedOn w:val="1-DocText"/>
    <w:link w:val="TableNumberChar"/>
    <w:qFormat/>
    <w:rsid w:val="000074EA"/>
    <w:pPr>
      <w:tabs>
        <w:tab w:val="clear" w:pos="2610"/>
        <w:tab w:val="left" w:pos="5320"/>
      </w:tabs>
      <w:jc w:val="right"/>
    </w:pPr>
    <w:rPr>
      <w:rFonts w:eastAsiaTheme="minorHAnsi" w:cstheme="minorBidi"/>
    </w:rPr>
  </w:style>
  <w:style w:type="character" w:customStyle="1" w:styleId="TableNumberChar">
    <w:name w:val="Table Number Char"/>
    <w:basedOn w:val="1-DocTextChar"/>
    <w:link w:val="TableNumber"/>
    <w:rsid w:val="000074EA"/>
    <w:rPr>
      <w:rFonts w:ascii="Garamond" w:eastAsiaTheme="minorHAnsi" w:hAnsi="Garamond" w:cstheme="minorBidi"/>
      <w:bCs/>
      <w:color w:val="000000"/>
      <w:sz w:val="22"/>
      <w:szCs w:val="22"/>
    </w:rPr>
  </w:style>
  <w:style w:type="character" w:customStyle="1" w:styleId="UnresolvedMention2">
    <w:name w:val="Unresolved Mention2"/>
    <w:basedOn w:val="DefaultParagraphFont"/>
    <w:uiPriority w:val="99"/>
    <w:semiHidden/>
    <w:unhideWhenUsed/>
    <w:rsid w:val="00786F5F"/>
    <w:rPr>
      <w:color w:val="605E5C"/>
      <w:shd w:val="clear" w:color="auto" w:fill="E1DFDD"/>
    </w:rPr>
  </w:style>
  <w:style w:type="paragraph" w:customStyle="1" w:styleId="Annex">
    <w:name w:val="Annex"/>
    <w:basedOn w:val="Normal"/>
    <w:qFormat/>
    <w:rsid w:val="00EA468F"/>
    <w:pPr>
      <w:keepNext/>
      <w:tabs>
        <w:tab w:val="left" w:pos="5320"/>
      </w:tabs>
      <w:spacing w:before="120" w:after="240"/>
    </w:pPr>
    <w:rPr>
      <w:rFonts w:ascii="Arial" w:eastAsiaTheme="minorHAnsi" w:hAnsi="Arial" w:cstheme="minorBidi"/>
      <w:b/>
      <w:caps/>
      <w:color w:val="002F6C"/>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6212">
      <w:bodyDiv w:val="1"/>
      <w:marLeft w:val="0"/>
      <w:marRight w:val="0"/>
      <w:marTop w:val="0"/>
      <w:marBottom w:val="0"/>
      <w:divBdr>
        <w:top w:val="none" w:sz="0" w:space="0" w:color="auto"/>
        <w:left w:val="none" w:sz="0" w:space="0" w:color="auto"/>
        <w:bottom w:val="none" w:sz="0" w:space="0" w:color="auto"/>
        <w:right w:val="none" w:sz="0" w:space="0" w:color="auto"/>
      </w:divBdr>
      <w:divsChild>
        <w:div w:id="88088875">
          <w:marLeft w:val="446"/>
          <w:marRight w:val="0"/>
          <w:marTop w:val="0"/>
          <w:marBottom w:val="0"/>
          <w:divBdr>
            <w:top w:val="none" w:sz="0" w:space="0" w:color="auto"/>
            <w:left w:val="none" w:sz="0" w:space="0" w:color="auto"/>
            <w:bottom w:val="none" w:sz="0" w:space="0" w:color="auto"/>
            <w:right w:val="none" w:sz="0" w:space="0" w:color="auto"/>
          </w:divBdr>
        </w:div>
        <w:div w:id="2107919932">
          <w:marLeft w:val="446"/>
          <w:marRight w:val="0"/>
          <w:marTop w:val="0"/>
          <w:marBottom w:val="0"/>
          <w:divBdr>
            <w:top w:val="none" w:sz="0" w:space="0" w:color="auto"/>
            <w:left w:val="none" w:sz="0" w:space="0" w:color="auto"/>
            <w:bottom w:val="none" w:sz="0" w:space="0" w:color="auto"/>
            <w:right w:val="none" w:sz="0" w:space="0" w:color="auto"/>
          </w:divBdr>
        </w:div>
      </w:divsChild>
    </w:div>
    <w:div w:id="78799625">
      <w:bodyDiv w:val="1"/>
      <w:marLeft w:val="0"/>
      <w:marRight w:val="0"/>
      <w:marTop w:val="0"/>
      <w:marBottom w:val="0"/>
      <w:divBdr>
        <w:top w:val="none" w:sz="0" w:space="0" w:color="auto"/>
        <w:left w:val="none" w:sz="0" w:space="0" w:color="auto"/>
        <w:bottom w:val="none" w:sz="0" w:space="0" w:color="auto"/>
        <w:right w:val="none" w:sz="0" w:space="0" w:color="auto"/>
      </w:divBdr>
    </w:div>
    <w:div w:id="95561325">
      <w:bodyDiv w:val="1"/>
      <w:marLeft w:val="0"/>
      <w:marRight w:val="0"/>
      <w:marTop w:val="0"/>
      <w:marBottom w:val="0"/>
      <w:divBdr>
        <w:top w:val="none" w:sz="0" w:space="0" w:color="auto"/>
        <w:left w:val="none" w:sz="0" w:space="0" w:color="auto"/>
        <w:bottom w:val="none" w:sz="0" w:space="0" w:color="auto"/>
        <w:right w:val="none" w:sz="0" w:space="0" w:color="auto"/>
      </w:divBdr>
      <w:divsChild>
        <w:div w:id="436757354">
          <w:marLeft w:val="1166"/>
          <w:marRight w:val="0"/>
          <w:marTop w:val="0"/>
          <w:marBottom w:val="0"/>
          <w:divBdr>
            <w:top w:val="none" w:sz="0" w:space="0" w:color="auto"/>
            <w:left w:val="none" w:sz="0" w:space="0" w:color="auto"/>
            <w:bottom w:val="none" w:sz="0" w:space="0" w:color="auto"/>
            <w:right w:val="none" w:sz="0" w:space="0" w:color="auto"/>
          </w:divBdr>
        </w:div>
        <w:div w:id="504903929">
          <w:marLeft w:val="1166"/>
          <w:marRight w:val="0"/>
          <w:marTop w:val="0"/>
          <w:marBottom w:val="0"/>
          <w:divBdr>
            <w:top w:val="none" w:sz="0" w:space="0" w:color="auto"/>
            <w:left w:val="none" w:sz="0" w:space="0" w:color="auto"/>
            <w:bottom w:val="none" w:sz="0" w:space="0" w:color="auto"/>
            <w:right w:val="none" w:sz="0" w:space="0" w:color="auto"/>
          </w:divBdr>
        </w:div>
        <w:div w:id="1329484565">
          <w:marLeft w:val="446"/>
          <w:marRight w:val="0"/>
          <w:marTop w:val="0"/>
          <w:marBottom w:val="0"/>
          <w:divBdr>
            <w:top w:val="none" w:sz="0" w:space="0" w:color="auto"/>
            <w:left w:val="none" w:sz="0" w:space="0" w:color="auto"/>
            <w:bottom w:val="none" w:sz="0" w:space="0" w:color="auto"/>
            <w:right w:val="none" w:sz="0" w:space="0" w:color="auto"/>
          </w:divBdr>
        </w:div>
        <w:div w:id="1666975742">
          <w:marLeft w:val="1166"/>
          <w:marRight w:val="0"/>
          <w:marTop w:val="0"/>
          <w:marBottom w:val="0"/>
          <w:divBdr>
            <w:top w:val="none" w:sz="0" w:space="0" w:color="auto"/>
            <w:left w:val="none" w:sz="0" w:space="0" w:color="auto"/>
            <w:bottom w:val="none" w:sz="0" w:space="0" w:color="auto"/>
            <w:right w:val="none" w:sz="0" w:space="0" w:color="auto"/>
          </w:divBdr>
        </w:div>
      </w:divsChild>
    </w:div>
    <w:div w:id="100150490">
      <w:bodyDiv w:val="1"/>
      <w:marLeft w:val="0"/>
      <w:marRight w:val="0"/>
      <w:marTop w:val="0"/>
      <w:marBottom w:val="0"/>
      <w:divBdr>
        <w:top w:val="none" w:sz="0" w:space="0" w:color="auto"/>
        <w:left w:val="none" w:sz="0" w:space="0" w:color="auto"/>
        <w:bottom w:val="none" w:sz="0" w:space="0" w:color="auto"/>
        <w:right w:val="none" w:sz="0" w:space="0" w:color="auto"/>
      </w:divBdr>
    </w:div>
    <w:div w:id="109053114">
      <w:bodyDiv w:val="1"/>
      <w:marLeft w:val="0"/>
      <w:marRight w:val="0"/>
      <w:marTop w:val="0"/>
      <w:marBottom w:val="0"/>
      <w:divBdr>
        <w:top w:val="none" w:sz="0" w:space="0" w:color="auto"/>
        <w:left w:val="none" w:sz="0" w:space="0" w:color="auto"/>
        <w:bottom w:val="none" w:sz="0" w:space="0" w:color="auto"/>
        <w:right w:val="none" w:sz="0" w:space="0" w:color="auto"/>
      </w:divBdr>
    </w:div>
    <w:div w:id="124472628">
      <w:bodyDiv w:val="1"/>
      <w:marLeft w:val="0"/>
      <w:marRight w:val="0"/>
      <w:marTop w:val="0"/>
      <w:marBottom w:val="0"/>
      <w:divBdr>
        <w:top w:val="none" w:sz="0" w:space="0" w:color="auto"/>
        <w:left w:val="none" w:sz="0" w:space="0" w:color="auto"/>
        <w:bottom w:val="none" w:sz="0" w:space="0" w:color="auto"/>
        <w:right w:val="none" w:sz="0" w:space="0" w:color="auto"/>
      </w:divBdr>
    </w:div>
    <w:div w:id="157890154">
      <w:bodyDiv w:val="1"/>
      <w:marLeft w:val="0"/>
      <w:marRight w:val="0"/>
      <w:marTop w:val="0"/>
      <w:marBottom w:val="0"/>
      <w:divBdr>
        <w:top w:val="none" w:sz="0" w:space="0" w:color="auto"/>
        <w:left w:val="none" w:sz="0" w:space="0" w:color="auto"/>
        <w:bottom w:val="none" w:sz="0" w:space="0" w:color="auto"/>
        <w:right w:val="none" w:sz="0" w:space="0" w:color="auto"/>
      </w:divBdr>
    </w:div>
    <w:div w:id="161162269">
      <w:bodyDiv w:val="1"/>
      <w:marLeft w:val="0"/>
      <w:marRight w:val="0"/>
      <w:marTop w:val="0"/>
      <w:marBottom w:val="0"/>
      <w:divBdr>
        <w:top w:val="none" w:sz="0" w:space="0" w:color="auto"/>
        <w:left w:val="none" w:sz="0" w:space="0" w:color="auto"/>
        <w:bottom w:val="none" w:sz="0" w:space="0" w:color="auto"/>
        <w:right w:val="none" w:sz="0" w:space="0" w:color="auto"/>
      </w:divBdr>
      <w:divsChild>
        <w:div w:id="248317658">
          <w:marLeft w:val="1166"/>
          <w:marRight w:val="0"/>
          <w:marTop w:val="0"/>
          <w:marBottom w:val="0"/>
          <w:divBdr>
            <w:top w:val="none" w:sz="0" w:space="0" w:color="auto"/>
            <w:left w:val="none" w:sz="0" w:space="0" w:color="auto"/>
            <w:bottom w:val="none" w:sz="0" w:space="0" w:color="auto"/>
            <w:right w:val="none" w:sz="0" w:space="0" w:color="auto"/>
          </w:divBdr>
        </w:div>
        <w:div w:id="461731645">
          <w:marLeft w:val="1166"/>
          <w:marRight w:val="0"/>
          <w:marTop w:val="0"/>
          <w:marBottom w:val="0"/>
          <w:divBdr>
            <w:top w:val="none" w:sz="0" w:space="0" w:color="auto"/>
            <w:left w:val="none" w:sz="0" w:space="0" w:color="auto"/>
            <w:bottom w:val="none" w:sz="0" w:space="0" w:color="auto"/>
            <w:right w:val="none" w:sz="0" w:space="0" w:color="auto"/>
          </w:divBdr>
        </w:div>
        <w:div w:id="638849613">
          <w:marLeft w:val="1166"/>
          <w:marRight w:val="0"/>
          <w:marTop w:val="0"/>
          <w:marBottom w:val="0"/>
          <w:divBdr>
            <w:top w:val="none" w:sz="0" w:space="0" w:color="auto"/>
            <w:left w:val="none" w:sz="0" w:space="0" w:color="auto"/>
            <w:bottom w:val="none" w:sz="0" w:space="0" w:color="auto"/>
            <w:right w:val="none" w:sz="0" w:space="0" w:color="auto"/>
          </w:divBdr>
        </w:div>
        <w:div w:id="1037971218">
          <w:marLeft w:val="1166"/>
          <w:marRight w:val="0"/>
          <w:marTop w:val="0"/>
          <w:marBottom w:val="0"/>
          <w:divBdr>
            <w:top w:val="none" w:sz="0" w:space="0" w:color="auto"/>
            <w:left w:val="none" w:sz="0" w:space="0" w:color="auto"/>
            <w:bottom w:val="none" w:sz="0" w:space="0" w:color="auto"/>
            <w:right w:val="none" w:sz="0" w:space="0" w:color="auto"/>
          </w:divBdr>
        </w:div>
        <w:div w:id="1048603705">
          <w:marLeft w:val="446"/>
          <w:marRight w:val="0"/>
          <w:marTop w:val="0"/>
          <w:marBottom w:val="0"/>
          <w:divBdr>
            <w:top w:val="none" w:sz="0" w:space="0" w:color="auto"/>
            <w:left w:val="none" w:sz="0" w:space="0" w:color="auto"/>
            <w:bottom w:val="none" w:sz="0" w:space="0" w:color="auto"/>
            <w:right w:val="none" w:sz="0" w:space="0" w:color="auto"/>
          </w:divBdr>
        </w:div>
        <w:div w:id="1106194641">
          <w:marLeft w:val="1166"/>
          <w:marRight w:val="0"/>
          <w:marTop w:val="0"/>
          <w:marBottom w:val="0"/>
          <w:divBdr>
            <w:top w:val="none" w:sz="0" w:space="0" w:color="auto"/>
            <w:left w:val="none" w:sz="0" w:space="0" w:color="auto"/>
            <w:bottom w:val="none" w:sz="0" w:space="0" w:color="auto"/>
            <w:right w:val="none" w:sz="0" w:space="0" w:color="auto"/>
          </w:divBdr>
        </w:div>
        <w:div w:id="1427118508">
          <w:marLeft w:val="1166"/>
          <w:marRight w:val="0"/>
          <w:marTop w:val="0"/>
          <w:marBottom w:val="0"/>
          <w:divBdr>
            <w:top w:val="none" w:sz="0" w:space="0" w:color="auto"/>
            <w:left w:val="none" w:sz="0" w:space="0" w:color="auto"/>
            <w:bottom w:val="none" w:sz="0" w:space="0" w:color="auto"/>
            <w:right w:val="none" w:sz="0" w:space="0" w:color="auto"/>
          </w:divBdr>
        </w:div>
        <w:div w:id="1550258742">
          <w:marLeft w:val="446"/>
          <w:marRight w:val="0"/>
          <w:marTop w:val="0"/>
          <w:marBottom w:val="0"/>
          <w:divBdr>
            <w:top w:val="none" w:sz="0" w:space="0" w:color="auto"/>
            <w:left w:val="none" w:sz="0" w:space="0" w:color="auto"/>
            <w:bottom w:val="none" w:sz="0" w:space="0" w:color="auto"/>
            <w:right w:val="none" w:sz="0" w:space="0" w:color="auto"/>
          </w:divBdr>
        </w:div>
        <w:div w:id="1566141105">
          <w:marLeft w:val="1166"/>
          <w:marRight w:val="0"/>
          <w:marTop w:val="0"/>
          <w:marBottom w:val="0"/>
          <w:divBdr>
            <w:top w:val="none" w:sz="0" w:space="0" w:color="auto"/>
            <w:left w:val="none" w:sz="0" w:space="0" w:color="auto"/>
            <w:bottom w:val="none" w:sz="0" w:space="0" w:color="auto"/>
            <w:right w:val="none" w:sz="0" w:space="0" w:color="auto"/>
          </w:divBdr>
        </w:div>
      </w:divsChild>
    </w:div>
    <w:div w:id="164369500">
      <w:bodyDiv w:val="1"/>
      <w:marLeft w:val="0"/>
      <w:marRight w:val="0"/>
      <w:marTop w:val="0"/>
      <w:marBottom w:val="0"/>
      <w:divBdr>
        <w:top w:val="none" w:sz="0" w:space="0" w:color="auto"/>
        <w:left w:val="none" w:sz="0" w:space="0" w:color="auto"/>
        <w:bottom w:val="none" w:sz="0" w:space="0" w:color="auto"/>
        <w:right w:val="none" w:sz="0" w:space="0" w:color="auto"/>
      </w:divBdr>
    </w:div>
    <w:div w:id="193466605">
      <w:bodyDiv w:val="1"/>
      <w:marLeft w:val="0"/>
      <w:marRight w:val="0"/>
      <w:marTop w:val="0"/>
      <w:marBottom w:val="0"/>
      <w:divBdr>
        <w:top w:val="none" w:sz="0" w:space="0" w:color="auto"/>
        <w:left w:val="none" w:sz="0" w:space="0" w:color="auto"/>
        <w:bottom w:val="none" w:sz="0" w:space="0" w:color="auto"/>
        <w:right w:val="none" w:sz="0" w:space="0" w:color="auto"/>
      </w:divBdr>
      <w:divsChild>
        <w:div w:id="551189209">
          <w:marLeft w:val="446"/>
          <w:marRight w:val="0"/>
          <w:marTop w:val="0"/>
          <w:marBottom w:val="0"/>
          <w:divBdr>
            <w:top w:val="none" w:sz="0" w:space="0" w:color="auto"/>
            <w:left w:val="none" w:sz="0" w:space="0" w:color="auto"/>
            <w:bottom w:val="none" w:sz="0" w:space="0" w:color="auto"/>
            <w:right w:val="none" w:sz="0" w:space="0" w:color="auto"/>
          </w:divBdr>
        </w:div>
      </w:divsChild>
    </w:div>
    <w:div w:id="196434593">
      <w:bodyDiv w:val="1"/>
      <w:marLeft w:val="0"/>
      <w:marRight w:val="0"/>
      <w:marTop w:val="0"/>
      <w:marBottom w:val="0"/>
      <w:divBdr>
        <w:top w:val="none" w:sz="0" w:space="0" w:color="auto"/>
        <w:left w:val="none" w:sz="0" w:space="0" w:color="auto"/>
        <w:bottom w:val="none" w:sz="0" w:space="0" w:color="auto"/>
        <w:right w:val="none" w:sz="0" w:space="0" w:color="auto"/>
      </w:divBdr>
      <w:divsChild>
        <w:div w:id="428233524">
          <w:marLeft w:val="446"/>
          <w:marRight w:val="0"/>
          <w:marTop w:val="0"/>
          <w:marBottom w:val="0"/>
          <w:divBdr>
            <w:top w:val="none" w:sz="0" w:space="0" w:color="auto"/>
            <w:left w:val="none" w:sz="0" w:space="0" w:color="auto"/>
            <w:bottom w:val="none" w:sz="0" w:space="0" w:color="auto"/>
            <w:right w:val="none" w:sz="0" w:space="0" w:color="auto"/>
          </w:divBdr>
        </w:div>
        <w:div w:id="904023846">
          <w:marLeft w:val="446"/>
          <w:marRight w:val="0"/>
          <w:marTop w:val="0"/>
          <w:marBottom w:val="0"/>
          <w:divBdr>
            <w:top w:val="none" w:sz="0" w:space="0" w:color="auto"/>
            <w:left w:val="none" w:sz="0" w:space="0" w:color="auto"/>
            <w:bottom w:val="none" w:sz="0" w:space="0" w:color="auto"/>
            <w:right w:val="none" w:sz="0" w:space="0" w:color="auto"/>
          </w:divBdr>
        </w:div>
        <w:div w:id="1900287532">
          <w:marLeft w:val="446"/>
          <w:marRight w:val="0"/>
          <w:marTop w:val="0"/>
          <w:marBottom w:val="0"/>
          <w:divBdr>
            <w:top w:val="none" w:sz="0" w:space="0" w:color="auto"/>
            <w:left w:val="none" w:sz="0" w:space="0" w:color="auto"/>
            <w:bottom w:val="none" w:sz="0" w:space="0" w:color="auto"/>
            <w:right w:val="none" w:sz="0" w:space="0" w:color="auto"/>
          </w:divBdr>
        </w:div>
      </w:divsChild>
    </w:div>
    <w:div w:id="197789640">
      <w:bodyDiv w:val="1"/>
      <w:marLeft w:val="0"/>
      <w:marRight w:val="0"/>
      <w:marTop w:val="0"/>
      <w:marBottom w:val="0"/>
      <w:divBdr>
        <w:top w:val="none" w:sz="0" w:space="0" w:color="auto"/>
        <w:left w:val="none" w:sz="0" w:space="0" w:color="auto"/>
        <w:bottom w:val="none" w:sz="0" w:space="0" w:color="auto"/>
        <w:right w:val="none" w:sz="0" w:space="0" w:color="auto"/>
      </w:divBdr>
    </w:div>
    <w:div w:id="215700011">
      <w:bodyDiv w:val="1"/>
      <w:marLeft w:val="0"/>
      <w:marRight w:val="0"/>
      <w:marTop w:val="0"/>
      <w:marBottom w:val="0"/>
      <w:divBdr>
        <w:top w:val="none" w:sz="0" w:space="0" w:color="auto"/>
        <w:left w:val="none" w:sz="0" w:space="0" w:color="auto"/>
        <w:bottom w:val="none" w:sz="0" w:space="0" w:color="auto"/>
        <w:right w:val="none" w:sz="0" w:space="0" w:color="auto"/>
      </w:divBdr>
    </w:div>
    <w:div w:id="238685067">
      <w:bodyDiv w:val="1"/>
      <w:marLeft w:val="0"/>
      <w:marRight w:val="0"/>
      <w:marTop w:val="0"/>
      <w:marBottom w:val="0"/>
      <w:divBdr>
        <w:top w:val="none" w:sz="0" w:space="0" w:color="auto"/>
        <w:left w:val="none" w:sz="0" w:space="0" w:color="auto"/>
        <w:bottom w:val="none" w:sz="0" w:space="0" w:color="auto"/>
        <w:right w:val="none" w:sz="0" w:space="0" w:color="auto"/>
      </w:divBdr>
    </w:div>
    <w:div w:id="288172283">
      <w:bodyDiv w:val="1"/>
      <w:marLeft w:val="0"/>
      <w:marRight w:val="0"/>
      <w:marTop w:val="0"/>
      <w:marBottom w:val="0"/>
      <w:divBdr>
        <w:top w:val="none" w:sz="0" w:space="0" w:color="auto"/>
        <w:left w:val="none" w:sz="0" w:space="0" w:color="auto"/>
        <w:bottom w:val="none" w:sz="0" w:space="0" w:color="auto"/>
        <w:right w:val="none" w:sz="0" w:space="0" w:color="auto"/>
      </w:divBdr>
      <w:divsChild>
        <w:div w:id="190923699">
          <w:marLeft w:val="446"/>
          <w:marRight w:val="0"/>
          <w:marTop w:val="0"/>
          <w:marBottom w:val="0"/>
          <w:divBdr>
            <w:top w:val="none" w:sz="0" w:space="0" w:color="auto"/>
            <w:left w:val="none" w:sz="0" w:space="0" w:color="auto"/>
            <w:bottom w:val="none" w:sz="0" w:space="0" w:color="auto"/>
            <w:right w:val="none" w:sz="0" w:space="0" w:color="auto"/>
          </w:divBdr>
        </w:div>
        <w:div w:id="896933991">
          <w:marLeft w:val="446"/>
          <w:marRight w:val="0"/>
          <w:marTop w:val="0"/>
          <w:marBottom w:val="0"/>
          <w:divBdr>
            <w:top w:val="none" w:sz="0" w:space="0" w:color="auto"/>
            <w:left w:val="none" w:sz="0" w:space="0" w:color="auto"/>
            <w:bottom w:val="none" w:sz="0" w:space="0" w:color="auto"/>
            <w:right w:val="none" w:sz="0" w:space="0" w:color="auto"/>
          </w:divBdr>
        </w:div>
      </w:divsChild>
    </w:div>
    <w:div w:id="294411573">
      <w:bodyDiv w:val="1"/>
      <w:marLeft w:val="0"/>
      <w:marRight w:val="0"/>
      <w:marTop w:val="0"/>
      <w:marBottom w:val="0"/>
      <w:divBdr>
        <w:top w:val="none" w:sz="0" w:space="0" w:color="auto"/>
        <w:left w:val="none" w:sz="0" w:space="0" w:color="auto"/>
        <w:bottom w:val="none" w:sz="0" w:space="0" w:color="auto"/>
        <w:right w:val="none" w:sz="0" w:space="0" w:color="auto"/>
      </w:divBdr>
    </w:div>
    <w:div w:id="315962807">
      <w:bodyDiv w:val="1"/>
      <w:marLeft w:val="0"/>
      <w:marRight w:val="0"/>
      <w:marTop w:val="0"/>
      <w:marBottom w:val="0"/>
      <w:divBdr>
        <w:top w:val="none" w:sz="0" w:space="0" w:color="auto"/>
        <w:left w:val="none" w:sz="0" w:space="0" w:color="auto"/>
        <w:bottom w:val="none" w:sz="0" w:space="0" w:color="auto"/>
        <w:right w:val="none" w:sz="0" w:space="0" w:color="auto"/>
      </w:divBdr>
      <w:divsChild>
        <w:div w:id="238365426">
          <w:marLeft w:val="446"/>
          <w:marRight w:val="0"/>
          <w:marTop w:val="0"/>
          <w:marBottom w:val="0"/>
          <w:divBdr>
            <w:top w:val="none" w:sz="0" w:space="0" w:color="auto"/>
            <w:left w:val="none" w:sz="0" w:space="0" w:color="auto"/>
            <w:bottom w:val="none" w:sz="0" w:space="0" w:color="auto"/>
            <w:right w:val="none" w:sz="0" w:space="0" w:color="auto"/>
          </w:divBdr>
        </w:div>
        <w:div w:id="313878000">
          <w:marLeft w:val="446"/>
          <w:marRight w:val="0"/>
          <w:marTop w:val="0"/>
          <w:marBottom w:val="0"/>
          <w:divBdr>
            <w:top w:val="none" w:sz="0" w:space="0" w:color="auto"/>
            <w:left w:val="none" w:sz="0" w:space="0" w:color="auto"/>
            <w:bottom w:val="none" w:sz="0" w:space="0" w:color="auto"/>
            <w:right w:val="none" w:sz="0" w:space="0" w:color="auto"/>
          </w:divBdr>
        </w:div>
        <w:div w:id="954752537">
          <w:marLeft w:val="446"/>
          <w:marRight w:val="0"/>
          <w:marTop w:val="0"/>
          <w:marBottom w:val="0"/>
          <w:divBdr>
            <w:top w:val="none" w:sz="0" w:space="0" w:color="auto"/>
            <w:left w:val="none" w:sz="0" w:space="0" w:color="auto"/>
            <w:bottom w:val="none" w:sz="0" w:space="0" w:color="auto"/>
            <w:right w:val="none" w:sz="0" w:space="0" w:color="auto"/>
          </w:divBdr>
        </w:div>
      </w:divsChild>
    </w:div>
    <w:div w:id="384453909">
      <w:bodyDiv w:val="1"/>
      <w:marLeft w:val="0"/>
      <w:marRight w:val="0"/>
      <w:marTop w:val="0"/>
      <w:marBottom w:val="0"/>
      <w:divBdr>
        <w:top w:val="none" w:sz="0" w:space="0" w:color="auto"/>
        <w:left w:val="none" w:sz="0" w:space="0" w:color="auto"/>
        <w:bottom w:val="none" w:sz="0" w:space="0" w:color="auto"/>
        <w:right w:val="none" w:sz="0" w:space="0" w:color="auto"/>
      </w:divBdr>
      <w:divsChild>
        <w:div w:id="1196695815">
          <w:marLeft w:val="446"/>
          <w:marRight w:val="0"/>
          <w:marTop w:val="0"/>
          <w:marBottom w:val="0"/>
          <w:divBdr>
            <w:top w:val="none" w:sz="0" w:space="0" w:color="auto"/>
            <w:left w:val="none" w:sz="0" w:space="0" w:color="auto"/>
            <w:bottom w:val="none" w:sz="0" w:space="0" w:color="auto"/>
            <w:right w:val="none" w:sz="0" w:space="0" w:color="auto"/>
          </w:divBdr>
        </w:div>
        <w:div w:id="1686325047">
          <w:marLeft w:val="446"/>
          <w:marRight w:val="0"/>
          <w:marTop w:val="0"/>
          <w:marBottom w:val="0"/>
          <w:divBdr>
            <w:top w:val="none" w:sz="0" w:space="0" w:color="auto"/>
            <w:left w:val="none" w:sz="0" w:space="0" w:color="auto"/>
            <w:bottom w:val="none" w:sz="0" w:space="0" w:color="auto"/>
            <w:right w:val="none" w:sz="0" w:space="0" w:color="auto"/>
          </w:divBdr>
        </w:div>
        <w:div w:id="1849321050">
          <w:marLeft w:val="446"/>
          <w:marRight w:val="0"/>
          <w:marTop w:val="0"/>
          <w:marBottom w:val="0"/>
          <w:divBdr>
            <w:top w:val="none" w:sz="0" w:space="0" w:color="auto"/>
            <w:left w:val="none" w:sz="0" w:space="0" w:color="auto"/>
            <w:bottom w:val="none" w:sz="0" w:space="0" w:color="auto"/>
            <w:right w:val="none" w:sz="0" w:space="0" w:color="auto"/>
          </w:divBdr>
        </w:div>
      </w:divsChild>
    </w:div>
    <w:div w:id="387143228">
      <w:bodyDiv w:val="1"/>
      <w:marLeft w:val="0"/>
      <w:marRight w:val="0"/>
      <w:marTop w:val="0"/>
      <w:marBottom w:val="0"/>
      <w:divBdr>
        <w:top w:val="none" w:sz="0" w:space="0" w:color="auto"/>
        <w:left w:val="none" w:sz="0" w:space="0" w:color="auto"/>
        <w:bottom w:val="none" w:sz="0" w:space="0" w:color="auto"/>
        <w:right w:val="none" w:sz="0" w:space="0" w:color="auto"/>
      </w:divBdr>
      <w:divsChild>
        <w:div w:id="1896427894">
          <w:marLeft w:val="446"/>
          <w:marRight w:val="0"/>
          <w:marTop w:val="0"/>
          <w:marBottom w:val="0"/>
          <w:divBdr>
            <w:top w:val="none" w:sz="0" w:space="0" w:color="auto"/>
            <w:left w:val="none" w:sz="0" w:space="0" w:color="auto"/>
            <w:bottom w:val="none" w:sz="0" w:space="0" w:color="auto"/>
            <w:right w:val="none" w:sz="0" w:space="0" w:color="auto"/>
          </w:divBdr>
        </w:div>
      </w:divsChild>
    </w:div>
    <w:div w:id="420493946">
      <w:bodyDiv w:val="1"/>
      <w:marLeft w:val="0"/>
      <w:marRight w:val="0"/>
      <w:marTop w:val="0"/>
      <w:marBottom w:val="0"/>
      <w:divBdr>
        <w:top w:val="none" w:sz="0" w:space="0" w:color="auto"/>
        <w:left w:val="none" w:sz="0" w:space="0" w:color="auto"/>
        <w:bottom w:val="none" w:sz="0" w:space="0" w:color="auto"/>
        <w:right w:val="none" w:sz="0" w:space="0" w:color="auto"/>
      </w:divBdr>
      <w:divsChild>
        <w:div w:id="187645867">
          <w:marLeft w:val="446"/>
          <w:marRight w:val="0"/>
          <w:marTop w:val="0"/>
          <w:marBottom w:val="0"/>
          <w:divBdr>
            <w:top w:val="none" w:sz="0" w:space="0" w:color="auto"/>
            <w:left w:val="none" w:sz="0" w:space="0" w:color="auto"/>
            <w:bottom w:val="none" w:sz="0" w:space="0" w:color="auto"/>
            <w:right w:val="none" w:sz="0" w:space="0" w:color="auto"/>
          </w:divBdr>
        </w:div>
        <w:div w:id="188225835">
          <w:marLeft w:val="446"/>
          <w:marRight w:val="0"/>
          <w:marTop w:val="0"/>
          <w:marBottom w:val="0"/>
          <w:divBdr>
            <w:top w:val="none" w:sz="0" w:space="0" w:color="auto"/>
            <w:left w:val="none" w:sz="0" w:space="0" w:color="auto"/>
            <w:bottom w:val="none" w:sz="0" w:space="0" w:color="auto"/>
            <w:right w:val="none" w:sz="0" w:space="0" w:color="auto"/>
          </w:divBdr>
        </w:div>
        <w:div w:id="244581389">
          <w:marLeft w:val="446"/>
          <w:marRight w:val="0"/>
          <w:marTop w:val="0"/>
          <w:marBottom w:val="0"/>
          <w:divBdr>
            <w:top w:val="none" w:sz="0" w:space="0" w:color="auto"/>
            <w:left w:val="none" w:sz="0" w:space="0" w:color="auto"/>
            <w:bottom w:val="none" w:sz="0" w:space="0" w:color="auto"/>
            <w:right w:val="none" w:sz="0" w:space="0" w:color="auto"/>
          </w:divBdr>
        </w:div>
        <w:div w:id="249705113">
          <w:marLeft w:val="446"/>
          <w:marRight w:val="0"/>
          <w:marTop w:val="0"/>
          <w:marBottom w:val="0"/>
          <w:divBdr>
            <w:top w:val="none" w:sz="0" w:space="0" w:color="auto"/>
            <w:left w:val="none" w:sz="0" w:space="0" w:color="auto"/>
            <w:bottom w:val="none" w:sz="0" w:space="0" w:color="auto"/>
            <w:right w:val="none" w:sz="0" w:space="0" w:color="auto"/>
          </w:divBdr>
        </w:div>
        <w:div w:id="1995061692">
          <w:marLeft w:val="446"/>
          <w:marRight w:val="0"/>
          <w:marTop w:val="0"/>
          <w:marBottom w:val="0"/>
          <w:divBdr>
            <w:top w:val="none" w:sz="0" w:space="0" w:color="auto"/>
            <w:left w:val="none" w:sz="0" w:space="0" w:color="auto"/>
            <w:bottom w:val="none" w:sz="0" w:space="0" w:color="auto"/>
            <w:right w:val="none" w:sz="0" w:space="0" w:color="auto"/>
          </w:divBdr>
        </w:div>
      </w:divsChild>
    </w:div>
    <w:div w:id="431437614">
      <w:bodyDiv w:val="1"/>
      <w:marLeft w:val="0"/>
      <w:marRight w:val="0"/>
      <w:marTop w:val="0"/>
      <w:marBottom w:val="0"/>
      <w:divBdr>
        <w:top w:val="none" w:sz="0" w:space="0" w:color="auto"/>
        <w:left w:val="none" w:sz="0" w:space="0" w:color="auto"/>
        <w:bottom w:val="none" w:sz="0" w:space="0" w:color="auto"/>
        <w:right w:val="none" w:sz="0" w:space="0" w:color="auto"/>
      </w:divBdr>
    </w:div>
    <w:div w:id="453521004">
      <w:bodyDiv w:val="1"/>
      <w:marLeft w:val="0"/>
      <w:marRight w:val="0"/>
      <w:marTop w:val="0"/>
      <w:marBottom w:val="0"/>
      <w:divBdr>
        <w:top w:val="none" w:sz="0" w:space="0" w:color="auto"/>
        <w:left w:val="none" w:sz="0" w:space="0" w:color="auto"/>
        <w:bottom w:val="none" w:sz="0" w:space="0" w:color="auto"/>
        <w:right w:val="none" w:sz="0" w:space="0" w:color="auto"/>
      </w:divBdr>
      <w:divsChild>
        <w:div w:id="329992436">
          <w:marLeft w:val="446"/>
          <w:marRight w:val="0"/>
          <w:marTop w:val="0"/>
          <w:marBottom w:val="0"/>
          <w:divBdr>
            <w:top w:val="none" w:sz="0" w:space="0" w:color="auto"/>
            <w:left w:val="none" w:sz="0" w:space="0" w:color="auto"/>
            <w:bottom w:val="none" w:sz="0" w:space="0" w:color="auto"/>
            <w:right w:val="none" w:sz="0" w:space="0" w:color="auto"/>
          </w:divBdr>
        </w:div>
        <w:div w:id="603075952">
          <w:marLeft w:val="446"/>
          <w:marRight w:val="0"/>
          <w:marTop w:val="0"/>
          <w:marBottom w:val="0"/>
          <w:divBdr>
            <w:top w:val="none" w:sz="0" w:space="0" w:color="auto"/>
            <w:left w:val="none" w:sz="0" w:space="0" w:color="auto"/>
            <w:bottom w:val="none" w:sz="0" w:space="0" w:color="auto"/>
            <w:right w:val="none" w:sz="0" w:space="0" w:color="auto"/>
          </w:divBdr>
        </w:div>
      </w:divsChild>
    </w:div>
    <w:div w:id="464543016">
      <w:bodyDiv w:val="1"/>
      <w:marLeft w:val="0"/>
      <w:marRight w:val="0"/>
      <w:marTop w:val="0"/>
      <w:marBottom w:val="0"/>
      <w:divBdr>
        <w:top w:val="none" w:sz="0" w:space="0" w:color="auto"/>
        <w:left w:val="none" w:sz="0" w:space="0" w:color="auto"/>
        <w:bottom w:val="none" w:sz="0" w:space="0" w:color="auto"/>
        <w:right w:val="none" w:sz="0" w:space="0" w:color="auto"/>
      </w:divBdr>
      <w:divsChild>
        <w:div w:id="185757987">
          <w:marLeft w:val="1166"/>
          <w:marRight w:val="0"/>
          <w:marTop w:val="96"/>
          <w:marBottom w:val="0"/>
          <w:divBdr>
            <w:top w:val="none" w:sz="0" w:space="0" w:color="auto"/>
            <w:left w:val="none" w:sz="0" w:space="0" w:color="auto"/>
            <w:bottom w:val="none" w:sz="0" w:space="0" w:color="auto"/>
            <w:right w:val="none" w:sz="0" w:space="0" w:color="auto"/>
          </w:divBdr>
        </w:div>
        <w:div w:id="332218523">
          <w:marLeft w:val="1166"/>
          <w:marRight w:val="0"/>
          <w:marTop w:val="96"/>
          <w:marBottom w:val="0"/>
          <w:divBdr>
            <w:top w:val="none" w:sz="0" w:space="0" w:color="auto"/>
            <w:left w:val="none" w:sz="0" w:space="0" w:color="auto"/>
            <w:bottom w:val="none" w:sz="0" w:space="0" w:color="auto"/>
            <w:right w:val="none" w:sz="0" w:space="0" w:color="auto"/>
          </w:divBdr>
        </w:div>
        <w:div w:id="486215346">
          <w:marLeft w:val="1166"/>
          <w:marRight w:val="0"/>
          <w:marTop w:val="96"/>
          <w:marBottom w:val="0"/>
          <w:divBdr>
            <w:top w:val="none" w:sz="0" w:space="0" w:color="auto"/>
            <w:left w:val="none" w:sz="0" w:space="0" w:color="auto"/>
            <w:bottom w:val="none" w:sz="0" w:space="0" w:color="auto"/>
            <w:right w:val="none" w:sz="0" w:space="0" w:color="auto"/>
          </w:divBdr>
        </w:div>
        <w:div w:id="962926789">
          <w:marLeft w:val="1166"/>
          <w:marRight w:val="0"/>
          <w:marTop w:val="96"/>
          <w:marBottom w:val="0"/>
          <w:divBdr>
            <w:top w:val="none" w:sz="0" w:space="0" w:color="auto"/>
            <w:left w:val="none" w:sz="0" w:space="0" w:color="auto"/>
            <w:bottom w:val="none" w:sz="0" w:space="0" w:color="auto"/>
            <w:right w:val="none" w:sz="0" w:space="0" w:color="auto"/>
          </w:divBdr>
        </w:div>
        <w:div w:id="1214775497">
          <w:marLeft w:val="1166"/>
          <w:marRight w:val="0"/>
          <w:marTop w:val="96"/>
          <w:marBottom w:val="0"/>
          <w:divBdr>
            <w:top w:val="none" w:sz="0" w:space="0" w:color="auto"/>
            <w:left w:val="none" w:sz="0" w:space="0" w:color="auto"/>
            <w:bottom w:val="none" w:sz="0" w:space="0" w:color="auto"/>
            <w:right w:val="none" w:sz="0" w:space="0" w:color="auto"/>
          </w:divBdr>
        </w:div>
        <w:div w:id="1260530660">
          <w:marLeft w:val="547"/>
          <w:marRight w:val="0"/>
          <w:marTop w:val="106"/>
          <w:marBottom w:val="0"/>
          <w:divBdr>
            <w:top w:val="none" w:sz="0" w:space="0" w:color="auto"/>
            <w:left w:val="none" w:sz="0" w:space="0" w:color="auto"/>
            <w:bottom w:val="none" w:sz="0" w:space="0" w:color="auto"/>
            <w:right w:val="none" w:sz="0" w:space="0" w:color="auto"/>
          </w:divBdr>
        </w:div>
        <w:div w:id="1459762787">
          <w:marLeft w:val="547"/>
          <w:marRight w:val="0"/>
          <w:marTop w:val="106"/>
          <w:marBottom w:val="0"/>
          <w:divBdr>
            <w:top w:val="none" w:sz="0" w:space="0" w:color="auto"/>
            <w:left w:val="none" w:sz="0" w:space="0" w:color="auto"/>
            <w:bottom w:val="none" w:sz="0" w:space="0" w:color="auto"/>
            <w:right w:val="none" w:sz="0" w:space="0" w:color="auto"/>
          </w:divBdr>
        </w:div>
        <w:div w:id="1653220069">
          <w:marLeft w:val="1166"/>
          <w:marRight w:val="0"/>
          <w:marTop w:val="96"/>
          <w:marBottom w:val="0"/>
          <w:divBdr>
            <w:top w:val="none" w:sz="0" w:space="0" w:color="auto"/>
            <w:left w:val="none" w:sz="0" w:space="0" w:color="auto"/>
            <w:bottom w:val="none" w:sz="0" w:space="0" w:color="auto"/>
            <w:right w:val="none" w:sz="0" w:space="0" w:color="auto"/>
          </w:divBdr>
        </w:div>
        <w:div w:id="1754742669">
          <w:marLeft w:val="1166"/>
          <w:marRight w:val="0"/>
          <w:marTop w:val="96"/>
          <w:marBottom w:val="0"/>
          <w:divBdr>
            <w:top w:val="none" w:sz="0" w:space="0" w:color="auto"/>
            <w:left w:val="none" w:sz="0" w:space="0" w:color="auto"/>
            <w:bottom w:val="none" w:sz="0" w:space="0" w:color="auto"/>
            <w:right w:val="none" w:sz="0" w:space="0" w:color="auto"/>
          </w:divBdr>
        </w:div>
        <w:div w:id="1980068508">
          <w:marLeft w:val="1166"/>
          <w:marRight w:val="0"/>
          <w:marTop w:val="96"/>
          <w:marBottom w:val="0"/>
          <w:divBdr>
            <w:top w:val="none" w:sz="0" w:space="0" w:color="auto"/>
            <w:left w:val="none" w:sz="0" w:space="0" w:color="auto"/>
            <w:bottom w:val="none" w:sz="0" w:space="0" w:color="auto"/>
            <w:right w:val="none" w:sz="0" w:space="0" w:color="auto"/>
          </w:divBdr>
        </w:div>
        <w:div w:id="2009206865">
          <w:marLeft w:val="547"/>
          <w:marRight w:val="0"/>
          <w:marTop w:val="106"/>
          <w:marBottom w:val="0"/>
          <w:divBdr>
            <w:top w:val="none" w:sz="0" w:space="0" w:color="auto"/>
            <w:left w:val="none" w:sz="0" w:space="0" w:color="auto"/>
            <w:bottom w:val="none" w:sz="0" w:space="0" w:color="auto"/>
            <w:right w:val="none" w:sz="0" w:space="0" w:color="auto"/>
          </w:divBdr>
        </w:div>
      </w:divsChild>
    </w:div>
    <w:div w:id="471336501">
      <w:bodyDiv w:val="1"/>
      <w:marLeft w:val="0"/>
      <w:marRight w:val="0"/>
      <w:marTop w:val="0"/>
      <w:marBottom w:val="0"/>
      <w:divBdr>
        <w:top w:val="none" w:sz="0" w:space="0" w:color="auto"/>
        <w:left w:val="none" w:sz="0" w:space="0" w:color="auto"/>
        <w:bottom w:val="none" w:sz="0" w:space="0" w:color="auto"/>
        <w:right w:val="none" w:sz="0" w:space="0" w:color="auto"/>
      </w:divBdr>
      <w:divsChild>
        <w:div w:id="735515306">
          <w:marLeft w:val="446"/>
          <w:marRight w:val="0"/>
          <w:marTop w:val="0"/>
          <w:marBottom w:val="0"/>
          <w:divBdr>
            <w:top w:val="none" w:sz="0" w:space="0" w:color="auto"/>
            <w:left w:val="none" w:sz="0" w:space="0" w:color="auto"/>
            <w:bottom w:val="none" w:sz="0" w:space="0" w:color="auto"/>
            <w:right w:val="none" w:sz="0" w:space="0" w:color="auto"/>
          </w:divBdr>
        </w:div>
      </w:divsChild>
    </w:div>
    <w:div w:id="475805373">
      <w:bodyDiv w:val="1"/>
      <w:marLeft w:val="0"/>
      <w:marRight w:val="0"/>
      <w:marTop w:val="0"/>
      <w:marBottom w:val="0"/>
      <w:divBdr>
        <w:top w:val="none" w:sz="0" w:space="0" w:color="auto"/>
        <w:left w:val="none" w:sz="0" w:space="0" w:color="auto"/>
        <w:bottom w:val="none" w:sz="0" w:space="0" w:color="auto"/>
        <w:right w:val="none" w:sz="0" w:space="0" w:color="auto"/>
      </w:divBdr>
      <w:divsChild>
        <w:div w:id="910233825">
          <w:marLeft w:val="446"/>
          <w:marRight w:val="0"/>
          <w:marTop w:val="0"/>
          <w:marBottom w:val="0"/>
          <w:divBdr>
            <w:top w:val="none" w:sz="0" w:space="0" w:color="auto"/>
            <w:left w:val="none" w:sz="0" w:space="0" w:color="auto"/>
            <w:bottom w:val="none" w:sz="0" w:space="0" w:color="auto"/>
            <w:right w:val="none" w:sz="0" w:space="0" w:color="auto"/>
          </w:divBdr>
        </w:div>
        <w:div w:id="1887522342">
          <w:marLeft w:val="446"/>
          <w:marRight w:val="0"/>
          <w:marTop w:val="0"/>
          <w:marBottom w:val="0"/>
          <w:divBdr>
            <w:top w:val="none" w:sz="0" w:space="0" w:color="auto"/>
            <w:left w:val="none" w:sz="0" w:space="0" w:color="auto"/>
            <w:bottom w:val="none" w:sz="0" w:space="0" w:color="auto"/>
            <w:right w:val="none" w:sz="0" w:space="0" w:color="auto"/>
          </w:divBdr>
        </w:div>
      </w:divsChild>
    </w:div>
    <w:div w:id="498695712">
      <w:bodyDiv w:val="1"/>
      <w:marLeft w:val="0"/>
      <w:marRight w:val="0"/>
      <w:marTop w:val="0"/>
      <w:marBottom w:val="0"/>
      <w:divBdr>
        <w:top w:val="none" w:sz="0" w:space="0" w:color="auto"/>
        <w:left w:val="none" w:sz="0" w:space="0" w:color="auto"/>
        <w:bottom w:val="none" w:sz="0" w:space="0" w:color="auto"/>
        <w:right w:val="none" w:sz="0" w:space="0" w:color="auto"/>
      </w:divBdr>
    </w:div>
    <w:div w:id="498811190">
      <w:bodyDiv w:val="1"/>
      <w:marLeft w:val="0"/>
      <w:marRight w:val="0"/>
      <w:marTop w:val="0"/>
      <w:marBottom w:val="0"/>
      <w:divBdr>
        <w:top w:val="none" w:sz="0" w:space="0" w:color="auto"/>
        <w:left w:val="none" w:sz="0" w:space="0" w:color="auto"/>
        <w:bottom w:val="none" w:sz="0" w:space="0" w:color="auto"/>
        <w:right w:val="none" w:sz="0" w:space="0" w:color="auto"/>
      </w:divBdr>
    </w:div>
    <w:div w:id="505244576">
      <w:bodyDiv w:val="1"/>
      <w:marLeft w:val="0"/>
      <w:marRight w:val="0"/>
      <w:marTop w:val="0"/>
      <w:marBottom w:val="0"/>
      <w:divBdr>
        <w:top w:val="none" w:sz="0" w:space="0" w:color="auto"/>
        <w:left w:val="none" w:sz="0" w:space="0" w:color="auto"/>
        <w:bottom w:val="none" w:sz="0" w:space="0" w:color="auto"/>
        <w:right w:val="none" w:sz="0" w:space="0" w:color="auto"/>
      </w:divBdr>
      <w:divsChild>
        <w:div w:id="630987080">
          <w:marLeft w:val="446"/>
          <w:marRight w:val="0"/>
          <w:marTop w:val="0"/>
          <w:marBottom w:val="0"/>
          <w:divBdr>
            <w:top w:val="none" w:sz="0" w:space="0" w:color="auto"/>
            <w:left w:val="none" w:sz="0" w:space="0" w:color="auto"/>
            <w:bottom w:val="none" w:sz="0" w:space="0" w:color="auto"/>
            <w:right w:val="none" w:sz="0" w:space="0" w:color="auto"/>
          </w:divBdr>
        </w:div>
        <w:div w:id="1172917633">
          <w:marLeft w:val="446"/>
          <w:marRight w:val="0"/>
          <w:marTop w:val="0"/>
          <w:marBottom w:val="0"/>
          <w:divBdr>
            <w:top w:val="none" w:sz="0" w:space="0" w:color="auto"/>
            <w:left w:val="none" w:sz="0" w:space="0" w:color="auto"/>
            <w:bottom w:val="none" w:sz="0" w:space="0" w:color="auto"/>
            <w:right w:val="none" w:sz="0" w:space="0" w:color="auto"/>
          </w:divBdr>
        </w:div>
        <w:div w:id="1909850563">
          <w:marLeft w:val="446"/>
          <w:marRight w:val="0"/>
          <w:marTop w:val="0"/>
          <w:marBottom w:val="0"/>
          <w:divBdr>
            <w:top w:val="none" w:sz="0" w:space="0" w:color="auto"/>
            <w:left w:val="none" w:sz="0" w:space="0" w:color="auto"/>
            <w:bottom w:val="none" w:sz="0" w:space="0" w:color="auto"/>
            <w:right w:val="none" w:sz="0" w:space="0" w:color="auto"/>
          </w:divBdr>
        </w:div>
        <w:div w:id="1954045928">
          <w:marLeft w:val="446"/>
          <w:marRight w:val="0"/>
          <w:marTop w:val="0"/>
          <w:marBottom w:val="0"/>
          <w:divBdr>
            <w:top w:val="none" w:sz="0" w:space="0" w:color="auto"/>
            <w:left w:val="none" w:sz="0" w:space="0" w:color="auto"/>
            <w:bottom w:val="none" w:sz="0" w:space="0" w:color="auto"/>
            <w:right w:val="none" w:sz="0" w:space="0" w:color="auto"/>
          </w:divBdr>
        </w:div>
      </w:divsChild>
    </w:div>
    <w:div w:id="511919953">
      <w:bodyDiv w:val="1"/>
      <w:marLeft w:val="0"/>
      <w:marRight w:val="0"/>
      <w:marTop w:val="0"/>
      <w:marBottom w:val="0"/>
      <w:divBdr>
        <w:top w:val="none" w:sz="0" w:space="0" w:color="auto"/>
        <w:left w:val="none" w:sz="0" w:space="0" w:color="auto"/>
        <w:bottom w:val="none" w:sz="0" w:space="0" w:color="auto"/>
        <w:right w:val="none" w:sz="0" w:space="0" w:color="auto"/>
      </w:divBdr>
    </w:div>
    <w:div w:id="532040000">
      <w:bodyDiv w:val="1"/>
      <w:marLeft w:val="0"/>
      <w:marRight w:val="0"/>
      <w:marTop w:val="0"/>
      <w:marBottom w:val="0"/>
      <w:divBdr>
        <w:top w:val="none" w:sz="0" w:space="0" w:color="auto"/>
        <w:left w:val="none" w:sz="0" w:space="0" w:color="auto"/>
        <w:bottom w:val="none" w:sz="0" w:space="0" w:color="auto"/>
        <w:right w:val="none" w:sz="0" w:space="0" w:color="auto"/>
      </w:divBdr>
    </w:div>
    <w:div w:id="550727379">
      <w:bodyDiv w:val="1"/>
      <w:marLeft w:val="0"/>
      <w:marRight w:val="0"/>
      <w:marTop w:val="0"/>
      <w:marBottom w:val="0"/>
      <w:divBdr>
        <w:top w:val="none" w:sz="0" w:space="0" w:color="auto"/>
        <w:left w:val="none" w:sz="0" w:space="0" w:color="auto"/>
        <w:bottom w:val="none" w:sz="0" w:space="0" w:color="auto"/>
        <w:right w:val="none" w:sz="0" w:space="0" w:color="auto"/>
      </w:divBdr>
    </w:div>
    <w:div w:id="579022520">
      <w:bodyDiv w:val="1"/>
      <w:marLeft w:val="0"/>
      <w:marRight w:val="0"/>
      <w:marTop w:val="0"/>
      <w:marBottom w:val="0"/>
      <w:divBdr>
        <w:top w:val="none" w:sz="0" w:space="0" w:color="auto"/>
        <w:left w:val="none" w:sz="0" w:space="0" w:color="auto"/>
        <w:bottom w:val="none" w:sz="0" w:space="0" w:color="auto"/>
        <w:right w:val="none" w:sz="0" w:space="0" w:color="auto"/>
      </w:divBdr>
      <w:divsChild>
        <w:div w:id="1119645008">
          <w:marLeft w:val="446"/>
          <w:marRight w:val="0"/>
          <w:marTop w:val="0"/>
          <w:marBottom w:val="0"/>
          <w:divBdr>
            <w:top w:val="none" w:sz="0" w:space="0" w:color="auto"/>
            <w:left w:val="none" w:sz="0" w:space="0" w:color="auto"/>
            <w:bottom w:val="none" w:sz="0" w:space="0" w:color="auto"/>
            <w:right w:val="none" w:sz="0" w:space="0" w:color="auto"/>
          </w:divBdr>
        </w:div>
        <w:div w:id="1775248547">
          <w:marLeft w:val="446"/>
          <w:marRight w:val="0"/>
          <w:marTop w:val="0"/>
          <w:marBottom w:val="0"/>
          <w:divBdr>
            <w:top w:val="none" w:sz="0" w:space="0" w:color="auto"/>
            <w:left w:val="none" w:sz="0" w:space="0" w:color="auto"/>
            <w:bottom w:val="none" w:sz="0" w:space="0" w:color="auto"/>
            <w:right w:val="none" w:sz="0" w:space="0" w:color="auto"/>
          </w:divBdr>
        </w:div>
        <w:div w:id="1992826926">
          <w:marLeft w:val="446"/>
          <w:marRight w:val="0"/>
          <w:marTop w:val="0"/>
          <w:marBottom w:val="0"/>
          <w:divBdr>
            <w:top w:val="none" w:sz="0" w:space="0" w:color="auto"/>
            <w:left w:val="none" w:sz="0" w:space="0" w:color="auto"/>
            <w:bottom w:val="none" w:sz="0" w:space="0" w:color="auto"/>
            <w:right w:val="none" w:sz="0" w:space="0" w:color="auto"/>
          </w:divBdr>
        </w:div>
        <w:div w:id="2091611795">
          <w:marLeft w:val="446"/>
          <w:marRight w:val="0"/>
          <w:marTop w:val="0"/>
          <w:marBottom w:val="0"/>
          <w:divBdr>
            <w:top w:val="none" w:sz="0" w:space="0" w:color="auto"/>
            <w:left w:val="none" w:sz="0" w:space="0" w:color="auto"/>
            <w:bottom w:val="none" w:sz="0" w:space="0" w:color="auto"/>
            <w:right w:val="none" w:sz="0" w:space="0" w:color="auto"/>
          </w:divBdr>
        </w:div>
      </w:divsChild>
    </w:div>
    <w:div w:id="591357350">
      <w:bodyDiv w:val="1"/>
      <w:marLeft w:val="0"/>
      <w:marRight w:val="0"/>
      <w:marTop w:val="0"/>
      <w:marBottom w:val="0"/>
      <w:divBdr>
        <w:top w:val="none" w:sz="0" w:space="0" w:color="auto"/>
        <w:left w:val="none" w:sz="0" w:space="0" w:color="auto"/>
        <w:bottom w:val="none" w:sz="0" w:space="0" w:color="auto"/>
        <w:right w:val="none" w:sz="0" w:space="0" w:color="auto"/>
      </w:divBdr>
    </w:div>
    <w:div w:id="621156431">
      <w:bodyDiv w:val="1"/>
      <w:marLeft w:val="0"/>
      <w:marRight w:val="0"/>
      <w:marTop w:val="0"/>
      <w:marBottom w:val="0"/>
      <w:divBdr>
        <w:top w:val="none" w:sz="0" w:space="0" w:color="auto"/>
        <w:left w:val="none" w:sz="0" w:space="0" w:color="auto"/>
        <w:bottom w:val="none" w:sz="0" w:space="0" w:color="auto"/>
        <w:right w:val="none" w:sz="0" w:space="0" w:color="auto"/>
      </w:divBdr>
    </w:div>
    <w:div w:id="622880333">
      <w:bodyDiv w:val="1"/>
      <w:marLeft w:val="0"/>
      <w:marRight w:val="0"/>
      <w:marTop w:val="0"/>
      <w:marBottom w:val="0"/>
      <w:divBdr>
        <w:top w:val="none" w:sz="0" w:space="0" w:color="auto"/>
        <w:left w:val="none" w:sz="0" w:space="0" w:color="auto"/>
        <w:bottom w:val="none" w:sz="0" w:space="0" w:color="auto"/>
        <w:right w:val="none" w:sz="0" w:space="0" w:color="auto"/>
      </w:divBdr>
      <w:divsChild>
        <w:div w:id="1212839915">
          <w:marLeft w:val="446"/>
          <w:marRight w:val="0"/>
          <w:marTop w:val="0"/>
          <w:marBottom w:val="0"/>
          <w:divBdr>
            <w:top w:val="none" w:sz="0" w:space="0" w:color="auto"/>
            <w:left w:val="none" w:sz="0" w:space="0" w:color="auto"/>
            <w:bottom w:val="none" w:sz="0" w:space="0" w:color="auto"/>
            <w:right w:val="none" w:sz="0" w:space="0" w:color="auto"/>
          </w:divBdr>
        </w:div>
        <w:div w:id="1952741569">
          <w:marLeft w:val="446"/>
          <w:marRight w:val="0"/>
          <w:marTop w:val="0"/>
          <w:marBottom w:val="0"/>
          <w:divBdr>
            <w:top w:val="none" w:sz="0" w:space="0" w:color="auto"/>
            <w:left w:val="none" w:sz="0" w:space="0" w:color="auto"/>
            <w:bottom w:val="none" w:sz="0" w:space="0" w:color="auto"/>
            <w:right w:val="none" w:sz="0" w:space="0" w:color="auto"/>
          </w:divBdr>
        </w:div>
      </w:divsChild>
    </w:div>
    <w:div w:id="674572333">
      <w:bodyDiv w:val="1"/>
      <w:marLeft w:val="0"/>
      <w:marRight w:val="0"/>
      <w:marTop w:val="0"/>
      <w:marBottom w:val="0"/>
      <w:divBdr>
        <w:top w:val="none" w:sz="0" w:space="0" w:color="auto"/>
        <w:left w:val="none" w:sz="0" w:space="0" w:color="auto"/>
        <w:bottom w:val="none" w:sz="0" w:space="0" w:color="auto"/>
        <w:right w:val="none" w:sz="0" w:space="0" w:color="auto"/>
      </w:divBdr>
    </w:div>
    <w:div w:id="681273908">
      <w:bodyDiv w:val="1"/>
      <w:marLeft w:val="0"/>
      <w:marRight w:val="0"/>
      <w:marTop w:val="0"/>
      <w:marBottom w:val="0"/>
      <w:divBdr>
        <w:top w:val="none" w:sz="0" w:space="0" w:color="auto"/>
        <w:left w:val="none" w:sz="0" w:space="0" w:color="auto"/>
        <w:bottom w:val="none" w:sz="0" w:space="0" w:color="auto"/>
        <w:right w:val="none" w:sz="0" w:space="0" w:color="auto"/>
      </w:divBdr>
      <w:divsChild>
        <w:div w:id="835001317">
          <w:marLeft w:val="446"/>
          <w:marRight w:val="0"/>
          <w:marTop w:val="0"/>
          <w:marBottom w:val="0"/>
          <w:divBdr>
            <w:top w:val="none" w:sz="0" w:space="0" w:color="auto"/>
            <w:left w:val="none" w:sz="0" w:space="0" w:color="auto"/>
            <w:bottom w:val="none" w:sz="0" w:space="0" w:color="auto"/>
            <w:right w:val="none" w:sz="0" w:space="0" w:color="auto"/>
          </w:divBdr>
        </w:div>
      </w:divsChild>
    </w:div>
    <w:div w:id="684333222">
      <w:bodyDiv w:val="1"/>
      <w:marLeft w:val="0"/>
      <w:marRight w:val="0"/>
      <w:marTop w:val="0"/>
      <w:marBottom w:val="0"/>
      <w:divBdr>
        <w:top w:val="none" w:sz="0" w:space="0" w:color="auto"/>
        <w:left w:val="none" w:sz="0" w:space="0" w:color="auto"/>
        <w:bottom w:val="none" w:sz="0" w:space="0" w:color="auto"/>
        <w:right w:val="none" w:sz="0" w:space="0" w:color="auto"/>
      </w:divBdr>
      <w:divsChild>
        <w:div w:id="3825353">
          <w:marLeft w:val="446"/>
          <w:marRight w:val="0"/>
          <w:marTop w:val="0"/>
          <w:marBottom w:val="0"/>
          <w:divBdr>
            <w:top w:val="none" w:sz="0" w:space="0" w:color="auto"/>
            <w:left w:val="none" w:sz="0" w:space="0" w:color="auto"/>
            <w:bottom w:val="none" w:sz="0" w:space="0" w:color="auto"/>
            <w:right w:val="none" w:sz="0" w:space="0" w:color="auto"/>
          </w:divBdr>
        </w:div>
        <w:div w:id="371350674">
          <w:marLeft w:val="446"/>
          <w:marRight w:val="0"/>
          <w:marTop w:val="0"/>
          <w:marBottom w:val="0"/>
          <w:divBdr>
            <w:top w:val="none" w:sz="0" w:space="0" w:color="auto"/>
            <w:left w:val="none" w:sz="0" w:space="0" w:color="auto"/>
            <w:bottom w:val="none" w:sz="0" w:space="0" w:color="auto"/>
            <w:right w:val="none" w:sz="0" w:space="0" w:color="auto"/>
          </w:divBdr>
        </w:div>
        <w:div w:id="414013900">
          <w:marLeft w:val="446"/>
          <w:marRight w:val="0"/>
          <w:marTop w:val="0"/>
          <w:marBottom w:val="0"/>
          <w:divBdr>
            <w:top w:val="none" w:sz="0" w:space="0" w:color="auto"/>
            <w:left w:val="none" w:sz="0" w:space="0" w:color="auto"/>
            <w:bottom w:val="none" w:sz="0" w:space="0" w:color="auto"/>
            <w:right w:val="none" w:sz="0" w:space="0" w:color="auto"/>
          </w:divBdr>
        </w:div>
        <w:div w:id="541139296">
          <w:marLeft w:val="446"/>
          <w:marRight w:val="0"/>
          <w:marTop w:val="0"/>
          <w:marBottom w:val="0"/>
          <w:divBdr>
            <w:top w:val="none" w:sz="0" w:space="0" w:color="auto"/>
            <w:left w:val="none" w:sz="0" w:space="0" w:color="auto"/>
            <w:bottom w:val="none" w:sz="0" w:space="0" w:color="auto"/>
            <w:right w:val="none" w:sz="0" w:space="0" w:color="auto"/>
          </w:divBdr>
        </w:div>
        <w:div w:id="1480266200">
          <w:marLeft w:val="446"/>
          <w:marRight w:val="0"/>
          <w:marTop w:val="0"/>
          <w:marBottom w:val="0"/>
          <w:divBdr>
            <w:top w:val="none" w:sz="0" w:space="0" w:color="auto"/>
            <w:left w:val="none" w:sz="0" w:space="0" w:color="auto"/>
            <w:bottom w:val="none" w:sz="0" w:space="0" w:color="auto"/>
            <w:right w:val="none" w:sz="0" w:space="0" w:color="auto"/>
          </w:divBdr>
        </w:div>
      </w:divsChild>
    </w:div>
    <w:div w:id="709689582">
      <w:bodyDiv w:val="1"/>
      <w:marLeft w:val="0"/>
      <w:marRight w:val="0"/>
      <w:marTop w:val="0"/>
      <w:marBottom w:val="0"/>
      <w:divBdr>
        <w:top w:val="none" w:sz="0" w:space="0" w:color="auto"/>
        <w:left w:val="none" w:sz="0" w:space="0" w:color="auto"/>
        <w:bottom w:val="none" w:sz="0" w:space="0" w:color="auto"/>
        <w:right w:val="none" w:sz="0" w:space="0" w:color="auto"/>
      </w:divBdr>
      <w:divsChild>
        <w:div w:id="412824970">
          <w:marLeft w:val="446"/>
          <w:marRight w:val="0"/>
          <w:marTop w:val="0"/>
          <w:marBottom w:val="0"/>
          <w:divBdr>
            <w:top w:val="none" w:sz="0" w:space="0" w:color="auto"/>
            <w:left w:val="none" w:sz="0" w:space="0" w:color="auto"/>
            <w:bottom w:val="none" w:sz="0" w:space="0" w:color="auto"/>
            <w:right w:val="none" w:sz="0" w:space="0" w:color="auto"/>
          </w:divBdr>
        </w:div>
        <w:div w:id="1483308032">
          <w:marLeft w:val="446"/>
          <w:marRight w:val="0"/>
          <w:marTop w:val="0"/>
          <w:marBottom w:val="0"/>
          <w:divBdr>
            <w:top w:val="none" w:sz="0" w:space="0" w:color="auto"/>
            <w:left w:val="none" w:sz="0" w:space="0" w:color="auto"/>
            <w:bottom w:val="none" w:sz="0" w:space="0" w:color="auto"/>
            <w:right w:val="none" w:sz="0" w:space="0" w:color="auto"/>
          </w:divBdr>
        </w:div>
      </w:divsChild>
    </w:div>
    <w:div w:id="713849804">
      <w:bodyDiv w:val="1"/>
      <w:marLeft w:val="0"/>
      <w:marRight w:val="0"/>
      <w:marTop w:val="0"/>
      <w:marBottom w:val="0"/>
      <w:divBdr>
        <w:top w:val="none" w:sz="0" w:space="0" w:color="auto"/>
        <w:left w:val="none" w:sz="0" w:space="0" w:color="auto"/>
        <w:bottom w:val="none" w:sz="0" w:space="0" w:color="auto"/>
        <w:right w:val="none" w:sz="0" w:space="0" w:color="auto"/>
      </w:divBdr>
    </w:div>
    <w:div w:id="720786089">
      <w:bodyDiv w:val="1"/>
      <w:marLeft w:val="0"/>
      <w:marRight w:val="0"/>
      <w:marTop w:val="0"/>
      <w:marBottom w:val="0"/>
      <w:divBdr>
        <w:top w:val="none" w:sz="0" w:space="0" w:color="auto"/>
        <w:left w:val="none" w:sz="0" w:space="0" w:color="auto"/>
        <w:bottom w:val="none" w:sz="0" w:space="0" w:color="auto"/>
        <w:right w:val="none" w:sz="0" w:space="0" w:color="auto"/>
      </w:divBdr>
      <w:divsChild>
        <w:div w:id="442072567">
          <w:marLeft w:val="446"/>
          <w:marRight w:val="0"/>
          <w:marTop w:val="0"/>
          <w:marBottom w:val="0"/>
          <w:divBdr>
            <w:top w:val="none" w:sz="0" w:space="0" w:color="auto"/>
            <w:left w:val="none" w:sz="0" w:space="0" w:color="auto"/>
            <w:bottom w:val="none" w:sz="0" w:space="0" w:color="auto"/>
            <w:right w:val="none" w:sz="0" w:space="0" w:color="auto"/>
          </w:divBdr>
        </w:div>
      </w:divsChild>
    </w:div>
    <w:div w:id="748159966">
      <w:bodyDiv w:val="1"/>
      <w:marLeft w:val="0"/>
      <w:marRight w:val="0"/>
      <w:marTop w:val="0"/>
      <w:marBottom w:val="0"/>
      <w:divBdr>
        <w:top w:val="none" w:sz="0" w:space="0" w:color="auto"/>
        <w:left w:val="none" w:sz="0" w:space="0" w:color="auto"/>
        <w:bottom w:val="none" w:sz="0" w:space="0" w:color="auto"/>
        <w:right w:val="none" w:sz="0" w:space="0" w:color="auto"/>
      </w:divBdr>
      <w:divsChild>
        <w:div w:id="307130006">
          <w:marLeft w:val="446"/>
          <w:marRight w:val="0"/>
          <w:marTop w:val="0"/>
          <w:marBottom w:val="0"/>
          <w:divBdr>
            <w:top w:val="none" w:sz="0" w:space="0" w:color="auto"/>
            <w:left w:val="none" w:sz="0" w:space="0" w:color="auto"/>
            <w:bottom w:val="none" w:sz="0" w:space="0" w:color="auto"/>
            <w:right w:val="none" w:sz="0" w:space="0" w:color="auto"/>
          </w:divBdr>
        </w:div>
        <w:div w:id="1605309215">
          <w:marLeft w:val="446"/>
          <w:marRight w:val="0"/>
          <w:marTop w:val="0"/>
          <w:marBottom w:val="0"/>
          <w:divBdr>
            <w:top w:val="none" w:sz="0" w:space="0" w:color="auto"/>
            <w:left w:val="none" w:sz="0" w:space="0" w:color="auto"/>
            <w:bottom w:val="none" w:sz="0" w:space="0" w:color="auto"/>
            <w:right w:val="none" w:sz="0" w:space="0" w:color="auto"/>
          </w:divBdr>
        </w:div>
      </w:divsChild>
    </w:div>
    <w:div w:id="758714877">
      <w:bodyDiv w:val="1"/>
      <w:marLeft w:val="0"/>
      <w:marRight w:val="0"/>
      <w:marTop w:val="0"/>
      <w:marBottom w:val="0"/>
      <w:divBdr>
        <w:top w:val="none" w:sz="0" w:space="0" w:color="auto"/>
        <w:left w:val="none" w:sz="0" w:space="0" w:color="auto"/>
        <w:bottom w:val="none" w:sz="0" w:space="0" w:color="auto"/>
        <w:right w:val="none" w:sz="0" w:space="0" w:color="auto"/>
      </w:divBdr>
    </w:div>
    <w:div w:id="780534284">
      <w:bodyDiv w:val="1"/>
      <w:marLeft w:val="0"/>
      <w:marRight w:val="0"/>
      <w:marTop w:val="0"/>
      <w:marBottom w:val="0"/>
      <w:divBdr>
        <w:top w:val="none" w:sz="0" w:space="0" w:color="auto"/>
        <w:left w:val="none" w:sz="0" w:space="0" w:color="auto"/>
        <w:bottom w:val="none" w:sz="0" w:space="0" w:color="auto"/>
        <w:right w:val="none" w:sz="0" w:space="0" w:color="auto"/>
      </w:divBdr>
    </w:div>
    <w:div w:id="782067458">
      <w:bodyDiv w:val="1"/>
      <w:marLeft w:val="0"/>
      <w:marRight w:val="0"/>
      <w:marTop w:val="0"/>
      <w:marBottom w:val="0"/>
      <w:divBdr>
        <w:top w:val="none" w:sz="0" w:space="0" w:color="auto"/>
        <w:left w:val="none" w:sz="0" w:space="0" w:color="auto"/>
        <w:bottom w:val="none" w:sz="0" w:space="0" w:color="auto"/>
        <w:right w:val="none" w:sz="0" w:space="0" w:color="auto"/>
      </w:divBdr>
    </w:div>
    <w:div w:id="846595797">
      <w:bodyDiv w:val="1"/>
      <w:marLeft w:val="0"/>
      <w:marRight w:val="0"/>
      <w:marTop w:val="0"/>
      <w:marBottom w:val="0"/>
      <w:divBdr>
        <w:top w:val="none" w:sz="0" w:space="0" w:color="auto"/>
        <w:left w:val="none" w:sz="0" w:space="0" w:color="auto"/>
        <w:bottom w:val="none" w:sz="0" w:space="0" w:color="auto"/>
        <w:right w:val="none" w:sz="0" w:space="0" w:color="auto"/>
      </w:divBdr>
    </w:div>
    <w:div w:id="853424929">
      <w:bodyDiv w:val="1"/>
      <w:marLeft w:val="0"/>
      <w:marRight w:val="0"/>
      <w:marTop w:val="0"/>
      <w:marBottom w:val="0"/>
      <w:divBdr>
        <w:top w:val="none" w:sz="0" w:space="0" w:color="auto"/>
        <w:left w:val="none" w:sz="0" w:space="0" w:color="auto"/>
        <w:bottom w:val="none" w:sz="0" w:space="0" w:color="auto"/>
        <w:right w:val="none" w:sz="0" w:space="0" w:color="auto"/>
      </w:divBdr>
    </w:div>
    <w:div w:id="869034063">
      <w:bodyDiv w:val="1"/>
      <w:marLeft w:val="0"/>
      <w:marRight w:val="0"/>
      <w:marTop w:val="0"/>
      <w:marBottom w:val="0"/>
      <w:divBdr>
        <w:top w:val="none" w:sz="0" w:space="0" w:color="auto"/>
        <w:left w:val="none" w:sz="0" w:space="0" w:color="auto"/>
        <w:bottom w:val="none" w:sz="0" w:space="0" w:color="auto"/>
        <w:right w:val="none" w:sz="0" w:space="0" w:color="auto"/>
      </w:divBdr>
      <w:divsChild>
        <w:div w:id="227036520">
          <w:marLeft w:val="446"/>
          <w:marRight w:val="0"/>
          <w:marTop w:val="0"/>
          <w:marBottom w:val="0"/>
          <w:divBdr>
            <w:top w:val="none" w:sz="0" w:space="0" w:color="auto"/>
            <w:left w:val="none" w:sz="0" w:space="0" w:color="auto"/>
            <w:bottom w:val="none" w:sz="0" w:space="0" w:color="auto"/>
            <w:right w:val="none" w:sz="0" w:space="0" w:color="auto"/>
          </w:divBdr>
        </w:div>
        <w:div w:id="1074860428">
          <w:marLeft w:val="446"/>
          <w:marRight w:val="0"/>
          <w:marTop w:val="0"/>
          <w:marBottom w:val="0"/>
          <w:divBdr>
            <w:top w:val="none" w:sz="0" w:space="0" w:color="auto"/>
            <w:left w:val="none" w:sz="0" w:space="0" w:color="auto"/>
            <w:bottom w:val="none" w:sz="0" w:space="0" w:color="auto"/>
            <w:right w:val="none" w:sz="0" w:space="0" w:color="auto"/>
          </w:divBdr>
        </w:div>
      </w:divsChild>
    </w:div>
    <w:div w:id="943878641">
      <w:bodyDiv w:val="1"/>
      <w:marLeft w:val="0"/>
      <w:marRight w:val="0"/>
      <w:marTop w:val="0"/>
      <w:marBottom w:val="0"/>
      <w:divBdr>
        <w:top w:val="none" w:sz="0" w:space="0" w:color="auto"/>
        <w:left w:val="none" w:sz="0" w:space="0" w:color="auto"/>
        <w:bottom w:val="none" w:sz="0" w:space="0" w:color="auto"/>
        <w:right w:val="none" w:sz="0" w:space="0" w:color="auto"/>
      </w:divBdr>
    </w:div>
    <w:div w:id="965814320">
      <w:bodyDiv w:val="1"/>
      <w:marLeft w:val="0"/>
      <w:marRight w:val="0"/>
      <w:marTop w:val="0"/>
      <w:marBottom w:val="0"/>
      <w:divBdr>
        <w:top w:val="none" w:sz="0" w:space="0" w:color="auto"/>
        <w:left w:val="none" w:sz="0" w:space="0" w:color="auto"/>
        <w:bottom w:val="none" w:sz="0" w:space="0" w:color="auto"/>
        <w:right w:val="none" w:sz="0" w:space="0" w:color="auto"/>
      </w:divBdr>
      <w:divsChild>
        <w:div w:id="630480917">
          <w:marLeft w:val="446"/>
          <w:marRight w:val="0"/>
          <w:marTop w:val="0"/>
          <w:marBottom w:val="0"/>
          <w:divBdr>
            <w:top w:val="none" w:sz="0" w:space="0" w:color="auto"/>
            <w:left w:val="none" w:sz="0" w:space="0" w:color="auto"/>
            <w:bottom w:val="none" w:sz="0" w:space="0" w:color="auto"/>
            <w:right w:val="none" w:sz="0" w:space="0" w:color="auto"/>
          </w:divBdr>
        </w:div>
        <w:div w:id="981350220">
          <w:marLeft w:val="446"/>
          <w:marRight w:val="0"/>
          <w:marTop w:val="0"/>
          <w:marBottom w:val="0"/>
          <w:divBdr>
            <w:top w:val="none" w:sz="0" w:space="0" w:color="auto"/>
            <w:left w:val="none" w:sz="0" w:space="0" w:color="auto"/>
            <w:bottom w:val="none" w:sz="0" w:space="0" w:color="auto"/>
            <w:right w:val="none" w:sz="0" w:space="0" w:color="auto"/>
          </w:divBdr>
        </w:div>
        <w:div w:id="1462961842">
          <w:marLeft w:val="446"/>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2322664">
      <w:bodyDiv w:val="1"/>
      <w:marLeft w:val="0"/>
      <w:marRight w:val="0"/>
      <w:marTop w:val="0"/>
      <w:marBottom w:val="0"/>
      <w:divBdr>
        <w:top w:val="none" w:sz="0" w:space="0" w:color="auto"/>
        <w:left w:val="none" w:sz="0" w:space="0" w:color="auto"/>
        <w:bottom w:val="none" w:sz="0" w:space="0" w:color="auto"/>
        <w:right w:val="none" w:sz="0" w:space="0" w:color="auto"/>
      </w:divBdr>
    </w:div>
    <w:div w:id="1028457005">
      <w:bodyDiv w:val="1"/>
      <w:marLeft w:val="0"/>
      <w:marRight w:val="0"/>
      <w:marTop w:val="0"/>
      <w:marBottom w:val="0"/>
      <w:divBdr>
        <w:top w:val="none" w:sz="0" w:space="0" w:color="auto"/>
        <w:left w:val="none" w:sz="0" w:space="0" w:color="auto"/>
        <w:bottom w:val="none" w:sz="0" w:space="0" w:color="auto"/>
        <w:right w:val="none" w:sz="0" w:space="0" w:color="auto"/>
      </w:divBdr>
    </w:div>
    <w:div w:id="1029531939">
      <w:bodyDiv w:val="1"/>
      <w:marLeft w:val="0"/>
      <w:marRight w:val="0"/>
      <w:marTop w:val="0"/>
      <w:marBottom w:val="0"/>
      <w:divBdr>
        <w:top w:val="none" w:sz="0" w:space="0" w:color="auto"/>
        <w:left w:val="none" w:sz="0" w:space="0" w:color="auto"/>
        <w:bottom w:val="none" w:sz="0" w:space="0" w:color="auto"/>
        <w:right w:val="none" w:sz="0" w:space="0" w:color="auto"/>
      </w:divBdr>
      <w:divsChild>
        <w:div w:id="514882640">
          <w:marLeft w:val="446"/>
          <w:marRight w:val="0"/>
          <w:marTop w:val="0"/>
          <w:marBottom w:val="0"/>
          <w:divBdr>
            <w:top w:val="none" w:sz="0" w:space="0" w:color="auto"/>
            <w:left w:val="none" w:sz="0" w:space="0" w:color="auto"/>
            <w:bottom w:val="none" w:sz="0" w:space="0" w:color="auto"/>
            <w:right w:val="none" w:sz="0" w:space="0" w:color="auto"/>
          </w:divBdr>
        </w:div>
        <w:div w:id="1086003404">
          <w:marLeft w:val="446"/>
          <w:marRight w:val="0"/>
          <w:marTop w:val="0"/>
          <w:marBottom w:val="0"/>
          <w:divBdr>
            <w:top w:val="none" w:sz="0" w:space="0" w:color="auto"/>
            <w:left w:val="none" w:sz="0" w:space="0" w:color="auto"/>
            <w:bottom w:val="none" w:sz="0" w:space="0" w:color="auto"/>
            <w:right w:val="none" w:sz="0" w:space="0" w:color="auto"/>
          </w:divBdr>
        </w:div>
        <w:div w:id="1820417893">
          <w:marLeft w:val="446"/>
          <w:marRight w:val="0"/>
          <w:marTop w:val="0"/>
          <w:marBottom w:val="0"/>
          <w:divBdr>
            <w:top w:val="none" w:sz="0" w:space="0" w:color="auto"/>
            <w:left w:val="none" w:sz="0" w:space="0" w:color="auto"/>
            <w:bottom w:val="none" w:sz="0" w:space="0" w:color="auto"/>
            <w:right w:val="none" w:sz="0" w:space="0" w:color="auto"/>
          </w:divBdr>
        </w:div>
        <w:div w:id="1987276992">
          <w:marLeft w:val="446"/>
          <w:marRight w:val="0"/>
          <w:marTop w:val="0"/>
          <w:marBottom w:val="0"/>
          <w:divBdr>
            <w:top w:val="none" w:sz="0" w:space="0" w:color="auto"/>
            <w:left w:val="none" w:sz="0" w:space="0" w:color="auto"/>
            <w:bottom w:val="none" w:sz="0" w:space="0" w:color="auto"/>
            <w:right w:val="none" w:sz="0" w:space="0" w:color="auto"/>
          </w:divBdr>
        </w:div>
        <w:div w:id="2013681582">
          <w:marLeft w:val="446"/>
          <w:marRight w:val="0"/>
          <w:marTop w:val="0"/>
          <w:marBottom w:val="0"/>
          <w:divBdr>
            <w:top w:val="none" w:sz="0" w:space="0" w:color="auto"/>
            <w:left w:val="none" w:sz="0" w:space="0" w:color="auto"/>
            <w:bottom w:val="none" w:sz="0" w:space="0" w:color="auto"/>
            <w:right w:val="none" w:sz="0" w:space="0" w:color="auto"/>
          </w:divBdr>
        </w:div>
      </w:divsChild>
    </w:div>
    <w:div w:id="1062632042">
      <w:bodyDiv w:val="1"/>
      <w:marLeft w:val="0"/>
      <w:marRight w:val="0"/>
      <w:marTop w:val="0"/>
      <w:marBottom w:val="0"/>
      <w:divBdr>
        <w:top w:val="none" w:sz="0" w:space="0" w:color="auto"/>
        <w:left w:val="none" w:sz="0" w:space="0" w:color="auto"/>
        <w:bottom w:val="none" w:sz="0" w:space="0" w:color="auto"/>
        <w:right w:val="none" w:sz="0" w:space="0" w:color="auto"/>
      </w:divBdr>
      <w:divsChild>
        <w:div w:id="417478982">
          <w:marLeft w:val="547"/>
          <w:marRight w:val="0"/>
          <w:marTop w:val="120"/>
          <w:marBottom w:val="0"/>
          <w:divBdr>
            <w:top w:val="none" w:sz="0" w:space="0" w:color="auto"/>
            <w:left w:val="none" w:sz="0" w:space="0" w:color="auto"/>
            <w:bottom w:val="none" w:sz="0" w:space="0" w:color="auto"/>
            <w:right w:val="none" w:sz="0" w:space="0" w:color="auto"/>
          </w:divBdr>
        </w:div>
        <w:div w:id="761294344">
          <w:marLeft w:val="547"/>
          <w:marRight w:val="0"/>
          <w:marTop w:val="120"/>
          <w:marBottom w:val="0"/>
          <w:divBdr>
            <w:top w:val="none" w:sz="0" w:space="0" w:color="auto"/>
            <w:left w:val="none" w:sz="0" w:space="0" w:color="auto"/>
            <w:bottom w:val="none" w:sz="0" w:space="0" w:color="auto"/>
            <w:right w:val="none" w:sz="0" w:space="0" w:color="auto"/>
          </w:divBdr>
        </w:div>
        <w:div w:id="1076249816">
          <w:marLeft w:val="547"/>
          <w:marRight w:val="0"/>
          <w:marTop w:val="120"/>
          <w:marBottom w:val="0"/>
          <w:divBdr>
            <w:top w:val="none" w:sz="0" w:space="0" w:color="auto"/>
            <w:left w:val="none" w:sz="0" w:space="0" w:color="auto"/>
            <w:bottom w:val="none" w:sz="0" w:space="0" w:color="auto"/>
            <w:right w:val="none" w:sz="0" w:space="0" w:color="auto"/>
          </w:divBdr>
        </w:div>
        <w:div w:id="1768772423">
          <w:marLeft w:val="547"/>
          <w:marRight w:val="0"/>
          <w:marTop w:val="120"/>
          <w:marBottom w:val="0"/>
          <w:divBdr>
            <w:top w:val="none" w:sz="0" w:space="0" w:color="auto"/>
            <w:left w:val="none" w:sz="0" w:space="0" w:color="auto"/>
            <w:bottom w:val="none" w:sz="0" w:space="0" w:color="auto"/>
            <w:right w:val="none" w:sz="0" w:space="0" w:color="auto"/>
          </w:divBdr>
        </w:div>
      </w:divsChild>
    </w:div>
    <w:div w:id="1151675417">
      <w:bodyDiv w:val="1"/>
      <w:marLeft w:val="0"/>
      <w:marRight w:val="0"/>
      <w:marTop w:val="0"/>
      <w:marBottom w:val="0"/>
      <w:divBdr>
        <w:top w:val="none" w:sz="0" w:space="0" w:color="auto"/>
        <w:left w:val="none" w:sz="0" w:space="0" w:color="auto"/>
        <w:bottom w:val="none" w:sz="0" w:space="0" w:color="auto"/>
        <w:right w:val="none" w:sz="0" w:space="0" w:color="auto"/>
      </w:divBdr>
    </w:div>
    <w:div w:id="1164054667">
      <w:bodyDiv w:val="1"/>
      <w:marLeft w:val="0"/>
      <w:marRight w:val="0"/>
      <w:marTop w:val="0"/>
      <w:marBottom w:val="0"/>
      <w:divBdr>
        <w:top w:val="none" w:sz="0" w:space="0" w:color="auto"/>
        <w:left w:val="none" w:sz="0" w:space="0" w:color="auto"/>
        <w:bottom w:val="none" w:sz="0" w:space="0" w:color="auto"/>
        <w:right w:val="none" w:sz="0" w:space="0" w:color="auto"/>
      </w:divBdr>
      <w:divsChild>
        <w:div w:id="329990780">
          <w:marLeft w:val="446"/>
          <w:marRight w:val="0"/>
          <w:marTop w:val="0"/>
          <w:marBottom w:val="0"/>
          <w:divBdr>
            <w:top w:val="none" w:sz="0" w:space="0" w:color="auto"/>
            <w:left w:val="none" w:sz="0" w:space="0" w:color="auto"/>
            <w:bottom w:val="none" w:sz="0" w:space="0" w:color="auto"/>
            <w:right w:val="none" w:sz="0" w:space="0" w:color="auto"/>
          </w:divBdr>
        </w:div>
        <w:div w:id="1109665633">
          <w:marLeft w:val="446"/>
          <w:marRight w:val="0"/>
          <w:marTop w:val="0"/>
          <w:marBottom w:val="0"/>
          <w:divBdr>
            <w:top w:val="none" w:sz="0" w:space="0" w:color="auto"/>
            <w:left w:val="none" w:sz="0" w:space="0" w:color="auto"/>
            <w:bottom w:val="none" w:sz="0" w:space="0" w:color="auto"/>
            <w:right w:val="none" w:sz="0" w:space="0" w:color="auto"/>
          </w:divBdr>
        </w:div>
        <w:div w:id="1501040025">
          <w:marLeft w:val="446"/>
          <w:marRight w:val="0"/>
          <w:marTop w:val="0"/>
          <w:marBottom w:val="0"/>
          <w:divBdr>
            <w:top w:val="none" w:sz="0" w:space="0" w:color="auto"/>
            <w:left w:val="none" w:sz="0" w:space="0" w:color="auto"/>
            <w:bottom w:val="none" w:sz="0" w:space="0" w:color="auto"/>
            <w:right w:val="none" w:sz="0" w:space="0" w:color="auto"/>
          </w:divBdr>
        </w:div>
      </w:divsChild>
    </w:div>
    <w:div w:id="1176727804">
      <w:bodyDiv w:val="1"/>
      <w:marLeft w:val="0"/>
      <w:marRight w:val="0"/>
      <w:marTop w:val="0"/>
      <w:marBottom w:val="0"/>
      <w:divBdr>
        <w:top w:val="none" w:sz="0" w:space="0" w:color="auto"/>
        <w:left w:val="none" w:sz="0" w:space="0" w:color="auto"/>
        <w:bottom w:val="none" w:sz="0" w:space="0" w:color="auto"/>
        <w:right w:val="none" w:sz="0" w:space="0" w:color="auto"/>
      </w:divBdr>
    </w:div>
    <w:div w:id="1192719819">
      <w:bodyDiv w:val="1"/>
      <w:marLeft w:val="0"/>
      <w:marRight w:val="0"/>
      <w:marTop w:val="0"/>
      <w:marBottom w:val="0"/>
      <w:divBdr>
        <w:top w:val="none" w:sz="0" w:space="0" w:color="auto"/>
        <w:left w:val="none" w:sz="0" w:space="0" w:color="auto"/>
        <w:bottom w:val="none" w:sz="0" w:space="0" w:color="auto"/>
        <w:right w:val="none" w:sz="0" w:space="0" w:color="auto"/>
      </w:divBdr>
    </w:div>
    <w:div w:id="1203396423">
      <w:bodyDiv w:val="1"/>
      <w:marLeft w:val="0"/>
      <w:marRight w:val="0"/>
      <w:marTop w:val="0"/>
      <w:marBottom w:val="0"/>
      <w:divBdr>
        <w:top w:val="none" w:sz="0" w:space="0" w:color="auto"/>
        <w:left w:val="none" w:sz="0" w:space="0" w:color="auto"/>
        <w:bottom w:val="none" w:sz="0" w:space="0" w:color="auto"/>
        <w:right w:val="none" w:sz="0" w:space="0" w:color="auto"/>
      </w:divBdr>
      <w:divsChild>
        <w:div w:id="571425414">
          <w:marLeft w:val="446"/>
          <w:marRight w:val="0"/>
          <w:marTop w:val="0"/>
          <w:marBottom w:val="0"/>
          <w:divBdr>
            <w:top w:val="none" w:sz="0" w:space="0" w:color="auto"/>
            <w:left w:val="none" w:sz="0" w:space="0" w:color="auto"/>
            <w:bottom w:val="none" w:sz="0" w:space="0" w:color="auto"/>
            <w:right w:val="none" w:sz="0" w:space="0" w:color="auto"/>
          </w:divBdr>
        </w:div>
        <w:div w:id="1009992563">
          <w:marLeft w:val="446"/>
          <w:marRight w:val="0"/>
          <w:marTop w:val="0"/>
          <w:marBottom w:val="0"/>
          <w:divBdr>
            <w:top w:val="none" w:sz="0" w:space="0" w:color="auto"/>
            <w:left w:val="none" w:sz="0" w:space="0" w:color="auto"/>
            <w:bottom w:val="none" w:sz="0" w:space="0" w:color="auto"/>
            <w:right w:val="none" w:sz="0" w:space="0" w:color="auto"/>
          </w:divBdr>
        </w:div>
        <w:div w:id="1202748043">
          <w:marLeft w:val="446"/>
          <w:marRight w:val="0"/>
          <w:marTop w:val="0"/>
          <w:marBottom w:val="0"/>
          <w:divBdr>
            <w:top w:val="none" w:sz="0" w:space="0" w:color="auto"/>
            <w:left w:val="none" w:sz="0" w:space="0" w:color="auto"/>
            <w:bottom w:val="none" w:sz="0" w:space="0" w:color="auto"/>
            <w:right w:val="none" w:sz="0" w:space="0" w:color="auto"/>
          </w:divBdr>
        </w:div>
      </w:divsChild>
    </w:div>
    <w:div w:id="1215311624">
      <w:bodyDiv w:val="1"/>
      <w:marLeft w:val="0"/>
      <w:marRight w:val="0"/>
      <w:marTop w:val="0"/>
      <w:marBottom w:val="0"/>
      <w:divBdr>
        <w:top w:val="none" w:sz="0" w:space="0" w:color="auto"/>
        <w:left w:val="none" w:sz="0" w:space="0" w:color="auto"/>
        <w:bottom w:val="none" w:sz="0" w:space="0" w:color="auto"/>
        <w:right w:val="none" w:sz="0" w:space="0" w:color="auto"/>
      </w:divBdr>
    </w:div>
    <w:div w:id="1261570673">
      <w:bodyDiv w:val="1"/>
      <w:marLeft w:val="0"/>
      <w:marRight w:val="0"/>
      <w:marTop w:val="0"/>
      <w:marBottom w:val="0"/>
      <w:divBdr>
        <w:top w:val="none" w:sz="0" w:space="0" w:color="auto"/>
        <w:left w:val="none" w:sz="0" w:space="0" w:color="auto"/>
        <w:bottom w:val="none" w:sz="0" w:space="0" w:color="auto"/>
        <w:right w:val="none" w:sz="0" w:space="0" w:color="auto"/>
      </w:divBdr>
      <w:divsChild>
        <w:div w:id="1360400457">
          <w:marLeft w:val="446"/>
          <w:marRight w:val="0"/>
          <w:marTop w:val="0"/>
          <w:marBottom w:val="0"/>
          <w:divBdr>
            <w:top w:val="none" w:sz="0" w:space="0" w:color="auto"/>
            <w:left w:val="none" w:sz="0" w:space="0" w:color="auto"/>
            <w:bottom w:val="none" w:sz="0" w:space="0" w:color="auto"/>
            <w:right w:val="none" w:sz="0" w:space="0" w:color="auto"/>
          </w:divBdr>
        </w:div>
        <w:div w:id="1791045897">
          <w:marLeft w:val="446"/>
          <w:marRight w:val="0"/>
          <w:marTop w:val="0"/>
          <w:marBottom w:val="0"/>
          <w:divBdr>
            <w:top w:val="none" w:sz="0" w:space="0" w:color="auto"/>
            <w:left w:val="none" w:sz="0" w:space="0" w:color="auto"/>
            <w:bottom w:val="none" w:sz="0" w:space="0" w:color="auto"/>
            <w:right w:val="none" w:sz="0" w:space="0" w:color="auto"/>
          </w:divBdr>
        </w:div>
      </w:divsChild>
    </w:div>
    <w:div w:id="1301496109">
      <w:bodyDiv w:val="1"/>
      <w:marLeft w:val="0"/>
      <w:marRight w:val="0"/>
      <w:marTop w:val="0"/>
      <w:marBottom w:val="0"/>
      <w:divBdr>
        <w:top w:val="none" w:sz="0" w:space="0" w:color="auto"/>
        <w:left w:val="none" w:sz="0" w:space="0" w:color="auto"/>
        <w:bottom w:val="none" w:sz="0" w:space="0" w:color="auto"/>
        <w:right w:val="none" w:sz="0" w:space="0" w:color="auto"/>
      </w:divBdr>
    </w:div>
    <w:div w:id="1308969356">
      <w:bodyDiv w:val="1"/>
      <w:marLeft w:val="0"/>
      <w:marRight w:val="0"/>
      <w:marTop w:val="0"/>
      <w:marBottom w:val="0"/>
      <w:divBdr>
        <w:top w:val="none" w:sz="0" w:space="0" w:color="auto"/>
        <w:left w:val="none" w:sz="0" w:space="0" w:color="auto"/>
        <w:bottom w:val="none" w:sz="0" w:space="0" w:color="auto"/>
        <w:right w:val="none" w:sz="0" w:space="0" w:color="auto"/>
      </w:divBdr>
    </w:div>
    <w:div w:id="1345551851">
      <w:bodyDiv w:val="1"/>
      <w:marLeft w:val="0"/>
      <w:marRight w:val="0"/>
      <w:marTop w:val="0"/>
      <w:marBottom w:val="0"/>
      <w:divBdr>
        <w:top w:val="none" w:sz="0" w:space="0" w:color="auto"/>
        <w:left w:val="none" w:sz="0" w:space="0" w:color="auto"/>
        <w:bottom w:val="none" w:sz="0" w:space="0" w:color="auto"/>
        <w:right w:val="none" w:sz="0" w:space="0" w:color="auto"/>
      </w:divBdr>
    </w:div>
    <w:div w:id="1370689477">
      <w:bodyDiv w:val="1"/>
      <w:marLeft w:val="0"/>
      <w:marRight w:val="0"/>
      <w:marTop w:val="0"/>
      <w:marBottom w:val="0"/>
      <w:divBdr>
        <w:top w:val="none" w:sz="0" w:space="0" w:color="auto"/>
        <w:left w:val="none" w:sz="0" w:space="0" w:color="auto"/>
        <w:bottom w:val="none" w:sz="0" w:space="0" w:color="auto"/>
        <w:right w:val="none" w:sz="0" w:space="0" w:color="auto"/>
      </w:divBdr>
    </w:div>
    <w:div w:id="1396506872">
      <w:bodyDiv w:val="1"/>
      <w:marLeft w:val="0"/>
      <w:marRight w:val="0"/>
      <w:marTop w:val="0"/>
      <w:marBottom w:val="0"/>
      <w:divBdr>
        <w:top w:val="none" w:sz="0" w:space="0" w:color="auto"/>
        <w:left w:val="none" w:sz="0" w:space="0" w:color="auto"/>
        <w:bottom w:val="none" w:sz="0" w:space="0" w:color="auto"/>
        <w:right w:val="none" w:sz="0" w:space="0" w:color="auto"/>
      </w:divBdr>
      <w:divsChild>
        <w:div w:id="477377982">
          <w:marLeft w:val="446"/>
          <w:marRight w:val="0"/>
          <w:marTop w:val="0"/>
          <w:marBottom w:val="0"/>
          <w:divBdr>
            <w:top w:val="none" w:sz="0" w:space="0" w:color="auto"/>
            <w:left w:val="none" w:sz="0" w:space="0" w:color="auto"/>
            <w:bottom w:val="none" w:sz="0" w:space="0" w:color="auto"/>
            <w:right w:val="none" w:sz="0" w:space="0" w:color="auto"/>
          </w:divBdr>
        </w:div>
        <w:div w:id="784351510">
          <w:marLeft w:val="446"/>
          <w:marRight w:val="0"/>
          <w:marTop w:val="0"/>
          <w:marBottom w:val="0"/>
          <w:divBdr>
            <w:top w:val="none" w:sz="0" w:space="0" w:color="auto"/>
            <w:left w:val="none" w:sz="0" w:space="0" w:color="auto"/>
            <w:bottom w:val="none" w:sz="0" w:space="0" w:color="auto"/>
            <w:right w:val="none" w:sz="0" w:space="0" w:color="auto"/>
          </w:divBdr>
        </w:div>
        <w:div w:id="1139572627">
          <w:marLeft w:val="446"/>
          <w:marRight w:val="0"/>
          <w:marTop w:val="0"/>
          <w:marBottom w:val="0"/>
          <w:divBdr>
            <w:top w:val="none" w:sz="0" w:space="0" w:color="auto"/>
            <w:left w:val="none" w:sz="0" w:space="0" w:color="auto"/>
            <w:bottom w:val="none" w:sz="0" w:space="0" w:color="auto"/>
            <w:right w:val="none" w:sz="0" w:space="0" w:color="auto"/>
          </w:divBdr>
        </w:div>
      </w:divsChild>
    </w:div>
    <w:div w:id="1434351719">
      <w:bodyDiv w:val="1"/>
      <w:marLeft w:val="0"/>
      <w:marRight w:val="0"/>
      <w:marTop w:val="0"/>
      <w:marBottom w:val="0"/>
      <w:divBdr>
        <w:top w:val="none" w:sz="0" w:space="0" w:color="auto"/>
        <w:left w:val="none" w:sz="0" w:space="0" w:color="auto"/>
        <w:bottom w:val="none" w:sz="0" w:space="0" w:color="auto"/>
        <w:right w:val="none" w:sz="0" w:space="0" w:color="auto"/>
      </w:divBdr>
      <w:divsChild>
        <w:div w:id="1177571355">
          <w:marLeft w:val="446"/>
          <w:marRight w:val="0"/>
          <w:marTop w:val="0"/>
          <w:marBottom w:val="0"/>
          <w:divBdr>
            <w:top w:val="none" w:sz="0" w:space="0" w:color="auto"/>
            <w:left w:val="none" w:sz="0" w:space="0" w:color="auto"/>
            <w:bottom w:val="none" w:sz="0" w:space="0" w:color="auto"/>
            <w:right w:val="none" w:sz="0" w:space="0" w:color="auto"/>
          </w:divBdr>
        </w:div>
        <w:div w:id="1294140061">
          <w:marLeft w:val="446"/>
          <w:marRight w:val="0"/>
          <w:marTop w:val="0"/>
          <w:marBottom w:val="0"/>
          <w:divBdr>
            <w:top w:val="none" w:sz="0" w:space="0" w:color="auto"/>
            <w:left w:val="none" w:sz="0" w:space="0" w:color="auto"/>
            <w:bottom w:val="none" w:sz="0" w:space="0" w:color="auto"/>
            <w:right w:val="none" w:sz="0" w:space="0" w:color="auto"/>
          </w:divBdr>
        </w:div>
        <w:div w:id="1971282577">
          <w:marLeft w:val="446"/>
          <w:marRight w:val="0"/>
          <w:marTop w:val="0"/>
          <w:marBottom w:val="0"/>
          <w:divBdr>
            <w:top w:val="none" w:sz="0" w:space="0" w:color="auto"/>
            <w:left w:val="none" w:sz="0" w:space="0" w:color="auto"/>
            <w:bottom w:val="none" w:sz="0" w:space="0" w:color="auto"/>
            <w:right w:val="none" w:sz="0" w:space="0" w:color="auto"/>
          </w:divBdr>
        </w:div>
      </w:divsChild>
    </w:div>
    <w:div w:id="1438257619">
      <w:bodyDiv w:val="1"/>
      <w:marLeft w:val="0"/>
      <w:marRight w:val="0"/>
      <w:marTop w:val="0"/>
      <w:marBottom w:val="0"/>
      <w:divBdr>
        <w:top w:val="none" w:sz="0" w:space="0" w:color="auto"/>
        <w:left w:val="none" w:sz="0" w:space="0" w:color="auto"/>
        <w:bottom w:val="none" w:sz="0" w:space="0" w:color="auto"/>
        <w:right w:val="none" w:sz="0" w:space="0" w:color="auto"/>
      </w:divBdr>
      <w:divsChild>
        <w:div w:id="18164452">
          <w:marLeft w:val="446"/>
          <w:marRight w:val="0"/>
          <w:marTop w:val="0"/>
          <w:marBottom w:val="0"/>
          <w:divBdr>
            <w:top w:val="none" w:sz="0" w:space="0" w:color="auto"/>
            <w:left w:val="none" w:sz="0" w:space="0" w:color="auto"/>
            <w:bottom w:val="none" w:sz="0" w:space="0" w:color="auto"/>
            <w:right w:val="none" w:sz="0" w:space="0" w:color="auto"/>
          </w:divBdr>
        </w:div>
        <w:div w:id="1319773896">
          <w:marLeft w:val="446"/>
          <w:marRight w:val="0"/>
          <w:marTop w:val="0"/>
          <w:marBottom w:val="0"/>
          <w:divBdr>
            <w:top w:val="none" w:sz="0" w:space="0" w:color="auto"/>
            <w:left w:val="none" w:sz="0" w:space="0" w:color="auto"/>
            <w:bottom w:val="none" w:sz="0" w:space="0" w:color="auto"/>
            <w:right w:val="none" w:sz="0" w:space="0" w:color="auto"/>
          </w:divBdr>
        </w:div>
        <w:div w:id="2075352993">
          <w:marLeft w:val="446"/>
          <w:marRight w:val="0"/>
          <w:marTop w:val="0"/>
          <w:marBottom w:val="0"/>
          <w:divBdr>
            <w:top w:val="none" w:sz="0" w:space="0" w:color="auto"/>
            <w:left w:val="none" w:sz="0" w:space="0" w:color="auto"/>
            <w:bottom w:val="none" w:sz="0" w:space="0" w:color="auto"/>
            <w:right w:val="none" w:sz="0" w:space="0" w:color="auto"/>
          </w:divBdr>
        </w:div>
      </w:divsChild>
    </w:div>
    <w:div w:id="1440098576">
      <w:bodyDiv w:val="1"/>
      <w:marLeft w:val="0"/>
      <w:marRight w:val="0"/>
      <w:marTop w:val="0"/>
      <w:marBottom w:val="0"/>
      <w:divBdr>
        <w:top w:val="none" w:sz="0" w:space="0" w:color="auto"/>
        <w:left w:val="none" w:sz="0" w:space="0" w:color="auto"/>
        <w:bottom w:val="none" w:sz="0" w:space="0" w:color="auto"/>
        <w:right w:val="none" w:sz="0" w:space="0" w:color="auto"/>
      </w:divBdr>
    </w:div>
    <w:div w:id="1446802097">
      <w:bodyDiv w:val="1"/>
      <w:marLeft w:val="0"/>
      <w:marRight w:val="0"/>
      <w:marTop w:val="0"/>
      <w:marBottom w:val="0"/>
      <w:divBdr>
        <w:top w:val="none" w:sz="0" w:space="0" w:color="auto"/>
        <w:left w:val="none" w:sz="0" w:space="0" w:color="auto"/>
        <w:bottom w:val="none" w:sz="0" w:space="0" w:color="auto"/>
        <w:right w:val="none" w:sz="0" w:space="0" w:color="auto"/>
      </w:divBdr>
    </w:div>
    <w:div w:id="1454133705">
      <w:bodyDiv w:val="1"/>
      <w:marLeft w:val="0"/>
      <w:marRight w:val="0"/>
      <w:marTop w:val="0"/>
      <w:marBottom w:val="0"/>
      <w:divBdr>
        <w:top w:val="none" w:sz="0" w:space="0" w:color="auto"/>
        <w:left w:val="none" w:sz="0" w:space="0" w:color="auto"/>
        <w:bottom w:val="none" w:sz="0" w:space="0" w:color="auto"/>
        <w:right w:val="none" w:sz="0" w:space="0" w:color="auto"/>
      </w:divBdr>
      <w:divsChild>
        <w:div w:id="154760505">
          <w:marLeft w:val="446"/>
          <w:marRight w:val="0"/>
          <w:marTop w:val="0"/>
          <w:marBottom w:val="0"/>
          <w:divBdr>
            <w:top w:val="none" w:sz="0" w:space="0" w:color="auto"/>
            <w:left w:val="none" w:sz="0" w:space="0" w:color="auto"/>
            <w:bottom w:val="none" w:sz="0" w:space="0" w:color="auto"/>
            <w:right w:val="none" w:sz="0" w:space="0" w:color="auto"/>
          </w:divBdr>
        </w:div>
        <w:div w:id="559899417">
          <w:marLeft w:val="446"/>
          <w:marRight w:val="0"/>
          <w:marTop w:val="0"/>
          <w:marBottom w:val="0"/>
          <w:divBdr>
            <w:top w:val="none" w:sz="0" w:space="0" w:color="auto"/>
            <w:left w:val="none" w:sz="0" w:space="0" w:color="auto"/>
            <w:bottom w:val="none" w:sz="0" w:space="0" w:color="auto"/>
            <w:right w:val="none" w:sz="0" w:space="0" w:color="auto"/>
          </w:divBdr>
        </w:div>
      </w:divsChild>
    </w:div>
    <w:div w:id="1455907442">
      <w:bodyDiv w:val="1"/>
      <w:marLeft w:val="0"/>
      <w:marRight w:val="0"/>
      <w:marTop w:val="0"/>
      <w:marBottom w:val="0"/>
      <w:divBdr>
        <w:top w:val="none" w:sz="0" w:space="0" w:color="auto"/>
        <w:left w:val="none" w:sz="0" w:space="0" w:color="auto"/>
        <w:bottom w:val="none" w:sz="0" w:space="0" w:color="auto"/>
        <w:right w:val="none" w:sz="0" w:space="0" w:color="auto"/>
      </w:divBdr>
    </w:div>
    <w:div w:id="1504473021">
      <w:bodyDiv w:val="1"/>
      <w:marLeft w:val="0"/>
      <w:marRight w:val="0"/>
      <w:marTop w:val="0"/>
      <w:marBottom w:val="0"/>
      <w:divBdr>
        <w:top w:val="none" w:sz="0" w:space="0" w:color="auto"/>
        <w:left w:val="none" w:sz="0" w:space="0" w:color="auto"/>
        <w:bottom w:val="none" w:sz="0" w:space="0" w:color="auto"/>
        <w:right w:val="none" w:sz="0" w:space="0" w:color="auto"/>
      </w:divBdr>
    </w:div>
    <w:div w:id="1517188132">
      <w:bodyDiv w:val="1"/>
      <w:marLeft w:val="0"/>
      <w:marRight w:val="0"/>
      <w:marTop w:val="0"/>
      <w:marBottom w:val="0"/>
      <w:divBdr>
        <w:top w:val="none" w:sz="0" w:space="0" w:color="auto"/>
        <w:left w:val="none" w:sz="0" w:space="0" w:color="auto"/>
        <w:bottom w:val="none" w:sz="0" w:space="0" w:color="auto"/>
        <w:right w:val="none" w:sz="0" w:space="0" w:color="auto"/>
      </w:divBdr>
    </w:div>
    <w:div w:id="1533230802">
      <w:bodyDiv w:val="1"/>
      <w:marLeft w:val="0"/>
      <w:marRight w:val="0"/>
      <w:marTop w:val="0"/>
      <w:marBottom w:val="0"/>
      <w:divBdr>
        <w:top w:val="none" w:sz="0" w:space="0" w:color="auto"/>
        <w:left w:val="none" w:sz="0" w:space="0" w:color="auto"/>
        <w:bottom w:val="none" w:sz="0" w:space="0" w:color="auto"/>
        <w:right w:val="none" w:sz="0" w:space="0" w:color="auto"/>
      </w:divBdr>
      <w:divsChild>
        <w:div w:id="59254542">
          <w:marLeft w:val="446"/>
          <w:marRight w:val="0"/>
          <w:marTop w:val="0"/>
          <w:marBottom w:val="0"/>
          <w:divBdr>
            <w:top w:val="none" w:sz="0" w:space="0" w:color="auto"/>
            <w:left w:val="none" w:sz="0" w:space="0" w:color="auto"/>
            <w:bottom w:val="none" w:sz="0" w:space="0" w:color="auto"/>
            <w:right w:val="none" w:sz="0" w:space="0" w:color="auto"/>
          </w:divBdr>
        </w:div>
        <w:div w:id="281158621">
          <w:marLeft w:val="446"/>
          <w:marRight w:val="0"/>
          <w:marTop w:val="0"/>
          <w:marBottom w:val="0"/>
          <w:divBdr>
            <w:top w:val="none" w:sz="0" w:space="0" w:color="auto"/>
            <w:left w:val="none" w:sz="0" w:space="0" w:color="auto"/>
            <w:bottom w:val="none" w:sz="0" w:space="0" w:color="auto"/>
            <w:right w:val="none" w:sz="0" w:space="0" w:color="auto"/>
          </w:divBdr>
        </w:div>
        <w:div w:id="1243491213">
          <w:marLeft w:val="446"/>
          <w:marRight w:val="0"/>
          <w:marTop w:val="0"/>
          <w:marBottom w:val="0"/>
          <w:divBdr>
            <w:top w:val="none" w:sz="0" w:space="0" w:color="auto"/>
            <w:left w:val="none" w:sz="0" w:space="0" w:color="auto"/>
            <w:bottom w:val="none" w:sz="0" w:space="0" w:color="auto"/>
            <w:right w:val="none" w:sz="0" w:space="0" w:color="auto"/>
          </w:divBdr>
        </w:div>
      </w:divsChild>
    </w:div>
    <w:div w:id="1556699892">
      <w:bodyDiv w:val="1"/>
      <w:marLeft w:val="0"/>
      <w:marRight w:val="0"/>
      <w:marTop w:val="0"/>
      <w:marBottom w:val="0"/>
      <w:divBdr>
        <w:top w:val="none" w:sz="0" w:space="0" w:color="auto"/>
        <w:left w:val="none" w:sz="0" w:space="0" w:color="auto"/>
        <w:bottom w:val="none" w:sz="0" w:space="0" w:color="auto"/>
        <w:right w:val="none" w:sz="0" w:space="0" w:color="auto"/>
      </w:divBdr>
    </w:div>
    <w:div w:id="1612518131">
      <w:bodyDiv w:val="1"/>
      <w:marLeft w:val="0"/>
      <w:marRight w:val="0"/>
      <w:marTop w:val="0"/>
      <w:marBottom w:val="0"/>
      <w:divBdr>
        <w:top w:val="none" w:sz="0" w:space="0" w:color="auto"/>
        <w:left w:val="none" w:sz="0" w:space="0" w:color="auto"/>
        <w:bottom w:val="none" w:sz="0" w:space="0" w:color="auto"/>
        <w:right w:val="none" w:sz="0" w:space="0" w:color="auto"/>
      </w:divBdr>
    </w:div>
    <w:div w:id="1623151962">
      <w:bodyDiv w:val="1"/>
      <w:marLeft w:val="0"/>
      <w:marRight w:val="0"/>
      <w:marTop w:val="0"/>
      <w:marBottom w:val="0"/>
      <w:divBdr>
        <w:top w:val="none" w:sz="0" w:space="0" w:color="auto"/>
        <w:left w:val="none" w:sz="0" w:space="0" w:color="auto"/>
        <w:bottom w:val="none" w:sz="0" w:space="0" w:color="auto"/>
        <w:right w:val="none" w:sz="0" w:space="0" w:color="auto"/>
      </w:divBdr>
      <w:divsChild>
        <w:div w:id="1768698733">
          <w:marLeft w:val="547"/>
          <w:marRight w:val="0"/>
          <w:marTop w:val="144"/>
          <w:marBottom w:val="0"/>
          <w:divBdr>
            <w:top w:val="none" w:sz="0" w:space="0" w:color="auto"/>
            <w:left w:val="none" w:sz="0" w:space="0" w:color="auto"/>
            <w:bottom w:val="none" w:sz="0" w:space="0" w:color="auto"/>
            <w:right w:val="none" w:sz="0" w:space="0" w:color="auto"/>
          </w:divBdr>
        </w:div>
        <w:div w:id="2080321478">
          <w:marLeft w:val="547"/>
          <w:marRight w:val="0"/>
          <w:marTop w:val="144"/>
          <w:marBottom w:val="0"/>
          <w:divBdr>
            <w:top w:val="none" w:sz="0" w:space="0" w:color="auto"/>
            <w:left w:val="none" w:sz="0" w:space="0" w:color="auto"/>
            <w:bottom w:val="none" w:sz="0" w:space="0" w:color="auto"/>
            <w:right w:val="none" w:sz="0" w:space="0" w:color="auto"/>
          </w:divBdr>
        </w:div>
      </w:divsChild>
    </w:div>
    <w:div w:id="1650086603">
      <w:bodyDiv w:val="1"/>
      <w:marLeft w:val="0"/>
      <w:marRight w:val="0"/>
      <w:marTop w:val="0"/>
      <w:marBottom w:val="0"/>
      <w:divBdr>
        <w:top w:val="none" w:sz="0" w:space="0" w:color="auto"/>
        <w:left w:val="none" w:sz="0" w:space="0" w:color="auto"/>
        <w:bottom w:val="none" w:sz="0" w:space="0" w:color="auto"/>
        <w:right w:val="none" w:sz="0" w:space="0" w:color="auto"/>
      </w:divBdr>
      <w:divsChild>
        <w:div w:id="1306280748">
          <w:marLeft w:val="446"/>
          <w:marRight w:val="0"/>
          <w:marTop w:val="0"/>
          <w:marBottom w:val="0"/>
          <w:divBdr>
            <w:top w:val="none" w:sz="0" w:space="0" w:color="auto"/>
            <w:left w:val="none" w:sz="0" w:space="0" w:color="auto"/>
            <w:bottom w:val="none" w:sz="0" w:space="0" w:color="auto"/>
            <w:right w:val="none" w:sz="0" w:space="0" w:color="auto"/>
          </w:divBdr>
        </w:div>
        <w:div w:id="2077707001">
          <w:marLeft w:val="446"/>
          <w:marRight w:val="0"/>
          <w:marTop w:val="0"/>
          <w:marBottom w:val="0"/>
          <w:divBdr>
            <w:top w:val="none" w:sz="0" w:space="0" w:color="auto"/>
            <w:left w:val="none" w:sz="0" w:space="0" w:color="auto"/>
            <w:bottom w:val="none" w:sz="0" w:space="0" w:color="auto"/>
            <w:right w:val="none" w:sz="0" w:space="0" w:color="auto"/>
          </w:divBdr>
        </w:div>
      </w:divsChild>
    </w:div>
    <w:div w:id="1699161185">
      <w:bodyDiv w:val="1"/>
      <w:marLeft w:val="0"/>
      <w:marRight w:val="0"/>
      <w:marTop w:val="0"/>
      <w:marBottom w:val="0"/>
      <w:divBdr>
        <w:top w:val="none" w:sz="0" w:space="0" w:color="auto"/>
        <w:left w:val="none" w:sz="0" w:space="0" w:color="auto"/>
        <w:bottom w:val="none" w:sz="0" w:space="0" w:color="auto"/>
        <w:right w:val="none" w:sz="0" w:space="0" w:color="auto"/>
      </w:divBdr>
      <w:divsChild>
        <w:div w:id="70008812">
          <w:marLeft w:val="446"/>
          <w:marRight w:val="0"/>
          <w:marTop w:val="0"/>
          <w:marBottom w:val="0"/>
          <w:divBdr>
            <w:top w:val="none" w:sz="0" w:space="0" w:color="auto"/>
            <w:left w:val="none" w:sz="0" w:space="0" w:color="auto"/>
            <w:bottom w:val="none" w:sz="0" w:space="0" w:color="auto"/>
            <w:right w:val="none" w:sz="0" w:space="0" w:color="auto"/>
          </w:divBdr>
        </w:div>
        <w:div w:id="203371187">
          <w:marLeft w:val="446"/>
          <w:marRight w:val="0"/>
          <w:marTop w:val="0"/>
          <w:marBottom w:val="0"/>
          <w:divBdr>
            <w:top w:val="none" w:sz="0" w:space="0" w:color="auto"/>
            <w:left w:val="none" w:sz="0" w:space="0" w:color="auto"/>
            <w:bottom w:val="none" w:sz="0" w:space="0" w:color="auto"/>
            <w:right w:val="none" w:sz="0" w:space="0" w:color="auto"/>
          </w:divBdr>
        </w:div>
        <w:div w:id="322777812">
          <w:marLeft w:val="446"/>
          <w:marRight w:val="0"/>
          <w:marTop w:val="0"/>
          <w:marBottom w:val="0"/>
          <w:divBdr>
            <w:top w:val="none" w:sz="0" w:space="0" w:color="auto"/>
            <w:left w:val="none" w:sz="0" w:space="0" w:color="auto"/>
            <w:bottom w:val="none" w:sz="0" w:space="0" w:color="auto"/>
            <w:right w:val="none" w:sz="0" w:space="0" w:color="auto"/>
          </w:divBdr>
        </w:div>
        <w:div w:id="374742216">
          <w:marLeft w:val="446"/>
          <w:marRight w:val="0"/>
          <w:marTop w:val="0"/>
          <w:marBottom w:val="0"/>
          <w:divBdr>
            <w:top w:val="none" w:sz="0" w:space="0" w:color="auto"/>
            <w:left w:val="none" w:sz="0" w:space="0" w:color="auto"/>
            <w:bottom w:val="none" w:sz="0" w:space="0" w:color="auto"/>
            <w:right w:val="none" w:sz="0" w:space="0" w:color="auto"/>
          </w:divBdr>
        </w:div>
        <w:div w:id="809446898">
          <w:marLeft w:val="446"/>
          <w:marRight w:val="0"/>
          <w:marTop w:val="0"/>
          <w:marBottom w:val="0"/>
          <w:divBdr>
            <w:top w:val="none" w:sz="0" w:space="0" w:color="auto"/>
            <w:left w:val="none" w:sz="0" w:space="0" w:color="auto"/>
            <w:bottom w:val="none" w:sz="0" w:space="0" w:color="auto"/>
            <w:right w:val="none" w:sz="0" w:space="0" w:color="auto"/>
          </w:divBdr>
        </w:div>
        <w:div w:id="1856579999">
          <w:marLeft w:val="446"/>
          <w:marRight w:val="0"/>
          <w:marTop w:val="0"/>
          <w:marBottom w:val="0"/>
          <w:divBdr>
            <w:top w:val="none" w:sz="0" w:space="0" w:color="auto"/>
            <w:left w:val="none" w:sz="0" w:space="0" w:color="auto"/>
            <w:bottom w:val="none" w:sz="0" w:space="0" w:color="auto"/>
            <w:right w:val="none" w:sz="0" w:space="0" w:color="auto"/>
          </w:divBdr>
        </w:div>
      </w:divsChild>
    </w:div>
    <w:div w:id="1714618758">
      <w:bodyDiv w:val="1"/>
      <w:marLeft w:val="0"/>
      <w:marRight w:val="0"/>
      <w:marTop w:val="0"/>
      <w:marBottom w:val="0"/>
      <w:divBdr>
        <w:top w:val="none" w:sz="0" w:space="0" w:color="auto"/>
        <w:left w:val="none" w:sz="0" w:space="0" w:color="auto"/>
        <w:bottom w:val="none" w:sz="0" w:space="0" w:color="auto"/>
        <w:right w:val="none" w:sz="0" w:space="0" w:color="auto"/>
      </w:divBdr>
      <w:divsChild>
        <w:div w:id="109781342">
          <w:marLeft w:val="446"/>
          <w:marRight w:val="0"/>
          <w:marTop w:val="0"/>
          <w:marBottom w:val="0"/>
          <w:divBdr>
            <w:top w:val="none" w:sz="0" w:space="0" w:color="auto"/>
            <w:left w:val="none" w:sz="0" w:space="0" w:color="auto"/>
            <w:bottom w:val="none" w:sz="0" w:space="0" w:color="auto"/>
            <w:right w:val="none" w:sz="0" w:space="0" w:color="auto"/>
          </w:divBdr>
        </w:div>
        <w:div w:id="525337807">
          <w:marLeft w:val="446"/>
          <w:marRight w:val="0"/>
          <w:marTop w:val="0"/>
          <w:marBottom w:val="0"/>
          <w:divBdr>
            <w:top w:val="none" w:sz="0" w:space="0" w:color="auto"/>
            <w:left w:val="none" w:sz="0" w:space="0" w:color="auto"/>
            <w:bottom w:val="none" w:sz="0" w:space="0" w:color="auto"/>
            <w:right w:val="none" w:sz="0" w:space="0" w:color="auto"/>
          </w:divBdr>
        </w:div>
        <w:div w:id="1183713620">
          <w:marLeft w:val="446"/>
          <w:marRight w:val="0"/>
          <w:marTop w:val="0"/>
          <w:marBottom w:val="0"/>
          <w:divBdr>
            <w:top w:val="none" w:sz="0" w:space="0" w:color="auto"/>
            <w:left w:val="none" w:sz="0" w:space="0" w:color="auto"/>
            <w:bottom w:val="none" w:sz="0" w:space="0" w:color="auto"/>
            <w:right w:val="none" w:sz="0" w:space="0" w:color="auto"/>
          </w:divBdr>
        </w:div>
      </w:divsChild>
    </w:div>
    <w:div w:id="1718238365">
      <w:bodyDiv w:val="1"/>
      <w:marLeft w:val="0"/>
      <w:marRight w:val="0"/>
      <w:marTop w:val="0"/>
      <w:marBottom w:val="0"/>
      <w:divBdr>
        <w:top w:val="none" w:sz="0" w:space="0" w:color="auto"/>
        <w:left w:val="none" w:sz="0" w:space="0" w:color="auto"/>
        <w:bottom w:val="none" w:sz="0" w:space="0" w:color="auto"/>
        <w:right w:val="none" w:sz="0" w:space="0" w:color="auto"/>
      </w:divBdr>
    </w:div>
    <w:div w:id="1720593960">
      <w:bodyDiv w:val="1"/>
      <w:marLeft w:val="0"/>
      <w:marRight w:val="0"/>
      <w:marTop w:val="0"/>
      <w:marBottom w:val="0"/>
      <w:divBdr>
        <w:top w:val="none" w:sz="0" w:space="0" w:color="auto"/>
        <w:left w:val="none" w:sz="0" w:space="0" w:color="auto"/>
        <w:bottom w:val="none" w:sz="0" w:space="0" w:color="auto"/>
        <w:right w:val="none" w:sz="0" w:space="0" w:color="auto"/>
      </w:divBdr>
      <w:divsChild>
        <w:div w:id="466320732">
          <w:marLeft w:val="446"/>
          <w:marRight w:val="0"/>
          <w:marTop w:val="0"/>
          <w:marBottom w:val="0"/>
          <w:divBdr>
            <w:top w:val="none" w:sz="0" w:space="0" w:color="auto"/>
            <w:left w:val="none" w:sz="0" w:space="0" w:color="auto"/>
            <w:bottom w:val="none" w:sz="0" w:space="0" w:color="auto"/>
            <w:right w:val="none" w:sz="0" w:space="0" w:color="auto"/>
          </w:divBdr>
        </w:div>
        <w:div w:id="1205602145">
          <w:marLeft w:val="446"/>
          <w:marRight w:val="0"/>
          <w:marTop w:val="0"/>
          <w:marBottom w:val="0"/>
          <w:divBdr>
            <w:top w:val="none" w:sz="0" w:space="0" w:color="auto"/>
            <w:left w:val="none" w:sz="0" w:space="0" w:color="auto"/>
            <w:bottom w:val="none" w:sz="0" w:space="0" w:color="auto"/>
            <w:right w:val="none" w:sz="0" w:space="0" w:color="auto"/>
          </w:divBdr>
        </w:div>
      </w:divsChild>
    </w:div>
    <w:div w:id="1731881678">
      <w:bodyDiv w:val="1"/>
      <w:marLeft w:val="0"/>
      <w:marRight w:val="0"/>
      <w:marTop w:val="0"/>
      <w:marBottom w:val="0"/>
      <w:divBdr>
        <w:top w:val="none" w:sz="0" w:space="0" w:color="auto"/>
        <w:left w:val="none" w:sz="0" w:space="0" w:color="auto"/>
        <w:bottom w:val="none" w:sz="0" w:space="0" w:color="auto"/>
        <w:right w:val="none" w:sz="0" w:space="0" w:color="auto"/>
      </w:divBdr>
    </w:div>
    <w:div w:id="1748459952">
      <w:bodyDiv w:val="1"/>
      <w:marLeft w:val="0"/>
      <w:marRight w:val="0"/>
      <w:marTop w:val="0"/>
      <w:marBottom w:val="0"/>
      <w:divBdr>
        <w:top w:val="none" w:sz="0" w:space="0" w:color="auto"/>
        <w:left w:val="none" w:sz="0" w:space="0" w:color="auto"/>
        <w:bottom w:val="none" w:sz="0" w:space="0" w:color="auto"/>
        <w:right w:val="none" w:sz="0" w:space="0" w:color="auto"/>
      </w:divBdr>
    </w:div>
    <w:div w:id="1764102502">
      <w:bodyDiv w:val="1"/>
      <w:marLeft w:val="0"/>
      <w:marRight w:val="0"/>
      <w:marTop w:val="0"/>
      <w:marBottom w:val="0"/>
      <w:divBdr>
        <w:top w:val="none" w:sz="0" w:space="0" w:color="auto"/>
        <w:left w:val="none" w:sz="0" w:space="0" w:color="auto"/>
        <w:bottom w:val="none" w:sz="0" w:space="0" w:color="auto"/>
        <w:right w:val="none" w:sz="0" w:space="0" w:color="auto"/>
      </w:divBdr>
    </w:div>
    <w:div w:id="1795096837">
      <w:bodyDiv w:val="1"/>
      <w:marLeft w:val="0"/>
      <w:marRight w:val="0"/>
      <w:marTop w:val="0"/>
      <w:marBottom w:val="0"/>
      <w:divBdr>
        <w:top w:val="none" w:sz="0" w:space="0" w:color="auto"/>
        <w:left w:val="none" w:sz="0" w:space="0" w:color="auto"/>
        <w:bottom w:val="none" w:sz="0" w:space="0" w:color="auto"/>
        <w:right w:val="none" w:sz="0" w:space="0" w:color="auto"/>
      </w:divBdr>
      <w:divsChild>
        <w:div w:id="1784761188">
          <w:marLeft w:val="274"/>
          <w:marRight w:val="0"/>
          <w:marTop w:val="0"/>
          <w:marBottom w:val="0"/>
          <w:divBdr>
            <w:top w:val="none" w:sz="0" w:space="0" w:color="auto"/>
            <w:left w:val="none" w:sz="0" w:space="0" w:color="auto"/>
            <w:bottom w:val="none" w:sz="0" w:space="0" w:color="auto"/>
            <w:right w:val="none" w:sz="0" w:space="0" w:color="auto"/>
          </w:divBdr>
        </w:div>
      </w:divsChild>
    </w:div>
    <w:div w:id="1795100927">
      <w:bodyDiv w:val="1"/>
      <w:marLeft w:val="0"/>
      <w:marRight w:val="0"/>
      <w:marTop w:val="0"/>
      <w:marBottom w:val="0"/>
      <w:divBdr>
        <w:top w:val="none" w:sz="0" w:space="0" w:color="auto"/>
        <w:left w:val="none" w:sz="0" w:space="0" w:color="auto"/>
        <w:bottom w:val="none" w:sz="0" w:space="0" w:color="auto"/>
        <w:right w:val="none" w:sz="0" w:space="0" w:color="auto"/>
      </w:divBdr>
    </w:div>
    <w:div w:id="1796561905">
      <w:bodyDiv w:val="1"/>
      <w:marLeft w:val="0"/>
      <w:marRight w:val="0"/>
      <w:marTop w:val="0"/>
      <w:marBottom w:val="0"/>
      <w:divBdr>
        <w:top w:val="none" w:sz="0" w:space="0" w:color="auto"/>
        <w:left w:val="none" w:sz="0" w:space="0" w:color="auto"/>
        <w:bottom w:val="none" w:sz="0" w:space="0" w:color="auto"/>
        <w:right w:val="none" w:sz="0" w:space="0" w:color="auto"/>
      </w:divBdr>
      <w:divsChild>
        <w:div w:id="297029587">
          <w:marLeft w:val="446"/>
          <w:marRight w:val="0"/>
          <w:marTop w:val="0"/>
          <w:marBottom w:val="0"/>
          <w:divBdr>
            <w:top w:val="none" w:sz="0" w:space="0" w:color="auto"/>
            <w:left w:val="none" w:sz="0" w:space="0" w:color="auto"/>
            <w:bottom w:val="none" w:sz="0" w:space="0" w:color="auto"/>
            <w:right w:val="none" w:sz="0" w:space="0" w:color="auto"/>
          </w:divBdr>
        </w:div>
        <w:div w:id="918707568">
          <w:marLeft w:val="446"/>
          <w:marRight w:val="0"/>
          <w:marTop w:val="0"/>
          <w:marBottom w:val="0"/>
          <w:divBdr>
            <w:top w:val="none" w:sz="0" w:space="0" w:color="auto"/>
            <w:left w:val="none" w:sz="0" w:space="0" w:color="auto"/>
            <w:bottom w:val="none" w:sz="0" w:space="0" w:color="auto"/>
            <w:right w:val="none" w:sz="0" w:space="0" w:color="auto"/>
          </w:divBdr>
        </w:div>
        <w:div w:id="1851917764">
          <w:marLeft w:val="446"/>
          <w:marRight w:val="0"/>
          <w:marTop w:val="0"/>
          <w:marBottom w:val="0"/>
          <w:divBdr>
            <w:top w:val="none" w:sz="0" w:space="0" w:color="auto"/>
            <w:left w:val="none" w:sz="0" w:space="0" w:color="auto"/>
            <w:bottom w:val="none" w:sz="0" w:space="0" w:color="auto"/>
            <w:right w:val="none" w:sz="0" w:space="0" w:color="auto"/>
          </w:divBdr>
        </w:div>
      </w:divsChild>
    </w:div>
    <w:div w:id="1811896866">
      <w:bodyDiv w:val="1"/>
      <w:marLeft w:val="0"/>
      <w:marRight w:val="0"/>
      <w:marTop w:val="0"/>
      <w:marBottom w:val="0"/>
      <w:divBdr>
        <w:top w:val="none" w:sz="0" w:space="0" w:color="auto"/>
        <w:left w:val="none" w:sz="0" w:space="0" w:color="auto"/>
        <w:bottom w:val="none" w:sz="0" w:space="0" w:color="auto"/>
        <w:right w:val="none" w:sz="0" w:space="0" w:color="auto"/>
      </w:divBdr>
    </w:div>
    <w:div w:id="1832142058">
      <w:bodyDiv w:val="1"/>
      <w:marLeft w:val="0"/>
      <w:marRight w:val="0"/>
      <w:marTop w:val="0"/>
      <w:marBottom w:val="0"/>
      <w:divBdr>
        <w:top w:val="none" w:sz="0" w:space="0" w:color="auto"/>
        <w:left w:val="none" w:sz="0" w:space="0" w:color="auto"/>
        <w:bottom w:val="none" w:sz="0" w:space="0" w:color="auto"/>
        <w:right w:val="none" w:sz="0" w:space="0" w:color="auto"/>
      </w:divBdr>
    </w:div>
    <w:div w:id="1852526199">
      <w:bodyDiv w:val="1"/>
      <w:marLeft w:val="0"/>
      <w:marRight w:val="0"/>
      <w:marTop w:val="0"/>
      <w:marBottom w:val="0"/>
      <w:divBdr>
        <w:top w:val="none" w:sz="0" w:space="0" w:color="auto"/>
        <w:left w:val="none" w:sz="0" w:space="0" w:color="auto"/>
        <w:bottom w:val="none" w:sz="0" w:space="0" w:color="auto"/>
        <w:right w:val="none" w:sz="0" w:space="0" w:color="auto"/>
      </w:divBdr>
    </w:div>
    <w:div w:id="1867254246">
      <w:bodyDiv w:val="1"/>
      <w:marLeft w:val="0"/>
      <w:marRight w:val="0"/>
      <w:marTop w:val="0"/>
      <w:marBottom w:val="0"/>
      <w:divBdr>
        <w:top w:val="none" w:sz="0" w:space="0" w:color="auto"/>
        <w:left w:val="none" w:sz="0" w:space="0" w:color="auto"/>
        <w:bottom w:val="none" w:sz="0" w:space="0" w:color="auto"/>
        <w:right w:val="none" w:sz="0" w:space="0" w:color="auto"/>
      </w:divBdr>
      <w:divsChild>
        <w:div w:id="326715588">
          <w:marLeft w:val="720"/>
          <w:marRight w:val="0"/>
          <w:marTop w:val="0"/>
          <w:marBottom w:val="0"/>
          <w:divBdr>
            <w:top w:val="none" w:sz="0" w:space="0" w:color="auto"/>
            <w:left w:val="none" w:sz="0" w:space="0" w:color="auto"/>
            <w:bottom w:val="none" w:sz="0" w:space="0" w:color="auto"/>
            <w:right w:val="none" w:sz="0" w:space="0" w:color="auto"/>
          </w:divBdr>
        </w:div>
        <w:div w:id="2030568411">
          <w:marLeft w:val="720"/>
          <w:marRight w:val="0"/>
          <w:marTop w:val="0"/>
          <w:marBottom w:val="0"/>
          <w:divBdr>
            <w:top w:val="none" w:sz="0" w:space="0" w:color="auto"/>
            <w:left w:val="none" w:sz="0" w:space="0" w:color="auto"/>
            <w:bottom w:val="none" w:sz="0" w:space="0" w:color="auto"/>
            <w:right w:val="none" w:sz="0" w:space="0" w:color="auto"/>
          </w:divBdr>
        </w:div>
        <w:div w:id="2101289974">
          <w:marLeft w:val="720"/>
          <w:marRight w:val="0"/>
          <w:marTop w:val="0"/>
          <w:marBottom w:val="0"/>
          <w:divBdr>
            <w:top w:val="none" w:sz="0" w:space="0" w:color="auto"/>
            <w:left w:val="none" w:sz="0" w:space="0" w:color="auto"/>
            <w:bottom w:val="none" w:sz="0" w:space="0" w:color="auto"/>
            <w:right w:val="none" w:sz="0" w:space="0" w:color="auto"/>
          </w:divBdr>
        </w:div>
      </w:divsChild>
    </w:div>
    <w:div w:id="1869833957">
      <w:bodyDiv w:val="1"/>
      <w:marLeft w:val="0"/>
      <w:marRight w:val="0"/>
      <w:marTop w:val="0"/>
      <w:marBottom w:val="0"/>
      <w:divBdr>
        <w:top w:val="none" w:sz="0" w:space="0" w:color="auto"/>
        <w:left w:val="none" w:sz="0" w:space="0" w:color="auto"/>
        <w:bottom w:val="none" w:sz="0" w:space="0" w:color="auto"/>
        <w:right w:val="none" w:sz="0" w:space="0" w:color="auto"/>
      </w:divBdr>
    </w:div>
    <w:div w:id="1870022671">
      <w:bodyDiv w:val="1"/>
      <w:marLeft w:val="0"/>
      <w:marRight w:val="0"/>
      <w:marTop w:val="0"/>
      <w:marBottom w:val="0"/>
      <w:divBdr>
        <w:top w:val="none" w:sz="0" w:space="0" w:color="auto"/>
        <w:left w:val="none" w:sz="0" w:space="0" w:color="auto"/>
        <w:bottom w:val="none" w:sz="0" w:space="0" w:color="auto"/>
        <w:right w:val="none" w:sz="0" w:space="0" w:color="auto"/>
      </w:divBdr>
      <w:divsChild>
        <w:div w:id="859048778">
          <w:marLeft w:val="446"/>
          <w:marRight w:val="0"/>
          <w:marTop w:val="0"/>
          <w:marBottom w:val="0"/>
          <w:divBdr>
            <w:top w:val="none" w:sz="0" w:space="0" w:color="auto"/>
            <w:left w:val="none" w:sz="0" w:space="0" w:color="auto"/>
            <w:bottom w:val="none" w:sz="0" w:space="0" w:color="auto"/>
            <w:right w:val="none" w:sz="0" w:space="0" w:color="auto"/>
          </w:divBdr>
        </w:div>
        <w:div w:id="1359044834">
          <w:marLeft w:val="446"/>
          <w:marRight w:val="0"/>
          <w:marTop w:val="0"/>
          <w:marBottom w:val="0"/>
          <w:divBdr>
            <w:top w:val="none" w:sz="0" w:space="0" w:color="auto"/>
            <w:left w:val="none" w:sz="0" w:space="0" w:color="auto"/>
            <w:bottom w:val="none" w:sz="0" w:space="0" w:color="auto"/>
            <w:right w:val="none" w:sz="0" w:space="0" w:color="auto"/>
          </w:divBdr>
        </w:div>
      </w:divsChild>
    </w:div>
    <w:div w:id="1896549200">
      <w:bodyDiv w:val="1"/>
      <w:marLeft w:val="0"/>
      <w:marRight w:val="0"/>
      <w:marTop w:val="0"/>
      <w:marBottom w:val="0"/>
      <w:divBdr>
        <w:top w:val="none" w:sz="0" w:space="0" w:color="auto"/>
        <w:left w:val="none" w:sz="0" w:space="0" w:color="auto"/>
        <w:bottom w:val="none" w:sz="0" w:space="0" w:color="auto"/>
        <w:right w:val="none" w:sz="0" w:space="0" w:color="auto"/>
      </w:divBdr>
    </w:div>
    <w:div w:id="1900901423">
      <w:bodyDiv w:val="1"/>
      <w:marLeft w:val="0"/>
      <w:marRight w:val="0"/>
      <w:marTop w:val="0"/>
      <w:marBottom w:val="0"/>
      <w:divBdr>
        <w:top w:val="none" w:sz="0" w:space="0" w:color="auto"/>
        <w:left w:val="none" w:sz="0" w:space="0" w:color="auto"/>
        <w:bottom w:val="none" w:sz="0" w:space="0" w:color="auto"/>
        <w:right w:val="none" w:sz="0" w:space="0" w:color="auto"/>
      </w:divBdr>
      <w:divsChild>
        <w:div w:id="1387953290">
          <w:marLeft w:val="446"/>
          <w:marRight w:val="0"/>
          <w:marTop w:val="0"/>
          <w:marBottom w:val="0"/>
          <w:divBdr>
            <w:top w:val="none" w:sz="0" w:space="0" w:color="auto"/>
            <w:left w:val="none" w:sz="0" w:space="0" w:color="auto"/>
            <w:bottom w:val="none" w:sz="0" w:space="0" w:color="auto"/>
            <w:right w:val="none" w:sz="0" w:space="0" w:color="auto"/>
          </w:divBdr>
        </w:div>
        <w:div w:id="1951662300">
          <w:marLeft w:val="446"/>
          <w:marRight w:val="0"/>
          <w:marTop w:val="0"/>
          <w:marBottom w:val="0"/>
          <w:divBdr>
            <w:top w:val="none" w:sz="0" w:space="0" w:color="auto"/>
            <w:left w:val="none" w:sz="0" w:space="0" w:color="auto"/>
            <w:bottom w:val="none" w:sz="0" w:space="0" w:color="auto"/>
            <w:right w:val="none" w:sz="0" w:space="0" w:color="auto"/>
          </w:divBdr>
        </w:div>
      </w:divsChild>
    </w:div>
    <w:div w:id="1903246753">
      <w:bodyDiv w:val="1"/>
      <w:marLeft w:val="0"/>
      <w:marRight w:val="0"/>
      <w:marTop w:val="0"/>
      <w:marBottom w:val="0"/>
      <w:divBdr>
        <w:top w:val="none" w:sz="0" w:space="0" w:color="auto"/>
        <w:left w:val="none" w:sz="0" w:space="0" w:color="auto"/>
        <w:bottom w:val="none" w:sz="0" w:space="0" w:color="auto"/>
        <w:right w:val="none" w:sz="0" w:space="0" w:color="auto"/>
      </w:divBdr>
    </w:div>
    <w:div w:id="1924029092">
      <w:bodyDiv w:val="1"/>
      <w:marLeft w:val="0"/>
      <w:marRight w:val="0"/>
      <w:marTop w:val="0"/>
      <w:marBottom w:val="0"/>
      <w:divBdr>
        <w:top w:val="none" w:sz="0" w:space="0" w:color="auto"/>
        <w:left w:val="none" w:sz="0" w:space="0" w:color="auto"/>
        <w:bottom w:val="none" w:sz="0" w:space="0" w:color="auto"/>
        <w:right w:val="none" w:sz="0" w:space="0" w:color="auto"/>
      </w:divBdr>
    </w:div>
    <w:div w:id="1953708723">
      <w:bodyDiv w:val="1"/>
      <w:marLeft w:val="0"/>
      <w:marRight w:val="0"/>
      <w:marTop w:val="0"/>
      <w:marBottom w:val="0"/>
      <w:divBdr>
        <w:top w:val="none" w:sz="0" w:space="0" w:color="auto"/>
        <w:left w:val="none" w:sz="0" w:space="0" w:color="auto"/>
        <w:bottom w:val="none" w:sz="0" w:space="0" w:color="auto"/>
        <w:right w:val="none" w:sz="0" w:space="0" w:color="auto"/>
      </w:divBdr>
      <w:divsChild>
        <w:div w:id="153185010">
          <w:marLeft w:val="446"/>
          <w:marRight w:val="0"/>
          <w:marTop w:val="0"/>
          <w:marBottom w:val="0"/>
          <w:divBdr>
            <w:top w:val="none" w:sz="0" w:space="0" w:color="auto"/>
            <w:left w:val="none" w:sz="0" w:space="0" w:color="auto"/>
            <w:bottom w:val="none" w:sz="0" w:space="0" w:color="auto"/>
            <w:right w:val="none" w:sz="0" w:space="0" w:color="auto"/>
          </w:divBdr>
        </w:div>
        <w:div w:id="236981378">
          <w:marLeft w:val="446"/>
          <w:marRight w:val="0"/>
          <w:marTop w:val="0"/>
          <w:marBottom w:val="0"/>
          <w:divBdr>
            <w:top w:val="none" w:sz="0" w:space="0" w:color="auto"/>
            <w:left w:val="none" w:sz="0" w:space="0" w:color="auto"/>
            <w:bottom w:val="none" w:sz="0" w:space="0" w:color="auto"/>
            <w:right w:val="none" w:sz="0" w:space="0" w:color="auto"/>
          </w:divBdr>
        </w:div>
        <w:div w:id="313949762">
          <w:marLeft w:val="446"/>
          <w:marRight w:val="0"/>
          <w:marTop w:val="0"/>
          <w:marBottom w:val="0"/>
          <w:divBdr>
            <w:top w:val="none" w:sz="0" w:space="0" w:color="auto"/>
            <w:left w:val="none" w:sz="0" w:space="0" w:color="auto"/>
            <w:bottom w:val="none" w:sz="0" w:space="0" w:color="auto"/>
            <w:right w:val="none" w:sz="0" w:space="0" w:color="auto"/>
          </w:divBdr>
        </w:div>
        <w:div w:id="649821779">
          <w:marLeft w:val="446"/>
          <w:marRight w:val="0"/>
          <w:marTop w:val="0"/>
          <w:marBottom w:val="0"/>
          <w:divBdr>
            <w:top w:val="none" w:sz="0" w:space="0" w:color="auto"/>
            <w:left w:val="none" w:sz="0" w:space="0" w:color="auto"/>
            <w:bottom w:val="none" w:sz="0" w:space="0" w:color="auto"/>
            <w:right w:val="none" w:sz="0" w:space="0" w:color="auto"/>
          </w:divBdr>
        </w:div>
        <w:div w:id="2105807899">
          <w:marLeft w:val="446"/>
          <w:marRight w:val="0"/>
          <w:marTop w:val="0"/>
          <w:marBottom w:val="0"/>
          <w:divBdr>
            <w:top w:val="none" w:sz="0" w:space="0" w:color="auto"/>
            <w:left w:val="none" w:sz="0" w:space="0" w:color="auto"/>
            <w:bottom w:val="none" w:sz="0" w:space="0" w:color="auto"/>
            <w:right w:val="none" w:sz="0" w:space="0" w:color="auto"/>
          </w:divBdr>
        </w:div>
      </w:divsChild>
    </w:div>
    <w:div w:id="1959987113">
      <w:bodyDiv w:val="1"/>
      <w:marLeft w:val="0"/>
      <w:marRight w:val="0"/>
      <w:marTop w:val="0"/>
      <w:marBottom w:val="0"/>
      <w:divBdr>
        <w:top w:val="none" w:sz="0" w:space="0" w:color="auto"/>
        <w:left w:val="none" w:sz="0" w:space="0" w:color="auto"/>
        <w:bottom w:val="none" w:sz="0" w:space="0" w:color="auto"/>
        <w:right w:val="none" w:sz="0" w:space="0" w:color="auto"/>
      </w:divBdr>
      <w:divsChild>
        <w:div w:id="92211012">
          <w:marLeft w:val="1886"/>
          <w:marRight w:val="0"/>
          <w:marTop w:val="0"/>
          <w:marBottom w:val="0"/>
          <w:divBdr>
            <w:top w:val="none" w:sz="0" w:space="0" w:color="auto"/>
            <w:left w:val="none" w:sz="0" w:space="0" w:color="auto"/>
            <w:bottom w:val="none" w:sz="0" w:space="0" w:color="auto"/>
            <w:right w:val="none" w:sz="0" w:space="0" w:color="auto"/>
          </w:divBdr>
        </w:div>
        <w:div w:id="857621687">
          <w:marLeft w:val="446"/>
          <w:marRight w:val="0"/>
          <w:marTop w:val="0"/>
          <w:marBottom w:val="0"/>
          <w:divBdr>
            <w:top w:val="none" w:sz="0" w:space="0" w:color="auto"/>
            <w:left w:val="none" w:sz="0" w:space="0" w:color="auto"/>
            <w:bottom w:val="none" w:sz="0" w:space="0" w:color="auto"/>
            <w:right w:val="none" w:sz="0" w:space="0" w:color="auto"/>
          </w:divBdr>
        </w:div>
        <w:div w:id="915866387">
          <w:marLeft w:val="1886"/>
          <w:marRight w:val="0"/>
          <w:marTop w:val="0"/>
          <w:marBottom w:val="0"/>
          <w:divBdr>
            <w:top w:val="none" w:sz="0" w:space="0" w:color="auto"/>
            <w:left w:val="none" w:sz="0" w:space="0" w:color="auto"/>
            <w:bottom w:val="none" w:sz="0" w:space="0" w:color="auto"/>
            <w:right w:val="none" w:sz="0" w:space="0" w:color="auto"/>
          </w:divBdr>
        </w:div>
        <w:div w:id="2028825321">
          <w:marLeft w:val="1886"/>
          <w:marRight w:val="0"/>
          <w:marTop w:val="0"/>
          <w:marBottom w:val="0"/>
          <w:divBdr>
            <w:top w:val="none" w:sz="0" w:space="0" w:color="auto"/>
            <w:left w:val="none" w:sz="0" w:space="0" w:color="auto"/>
            <w:bottom w:val="none" w:sz="0" w:space="0" w:color="auto"/>
            <w:right w:val="none" w:sz="0" w:space="0" w:color="auto"/>
          </w:divBdr>
        </w:div>
      </w:divsChild>
    </w:div>
    <w:div w:id="1964530268">
      <w:bodyDiv w:val="1"/>
      <w:marLeft w:val="0"/>
      <w:marRight w:val="0"/>
      <w:marTop w:val="0"/>
      <w:marBottom w:val="0"/>
      <w:divBdr>
        <w:top w:val="none" w:sz="0" w:space="0" w:color="auto"/>
        <w:left w:val="none" w:sz="0" w:space="0" w:color="auto"/>
        <w:bottom w:val="none" w:sz="0" w:space="0" w:color="auto"/>
        <w:right w:val="none" w:sz="0" w:space="0" w:color="auto"/>
      </w:divBdr>
    </w:div>
    <w:div w:id="1990984068">
      <w:bodyDiv w:val="1"/>
      <w:marLeft w:val="0"/>
      <w:marRight w:val="0"/>
      <w:marTop w:val="0"/>
      <w:marBottom w:val="0"/>
      <w:divBdr>
        <w:top w:val="none" w:sz="0" w:space="0" w:color="auto"/>
        <w:left w:val="none" w:sz="0" w:space="0" w:color="auto"/>
        <w:bottom w:val="none" w:sz="0" w:space="0" w:color="auto"/>
        <w:right w:val="none" w:sz="0" w:space="0" w:color="auto"/>
      </w:divBdr>
    </w:div>
    <w:div w:id="1999919833">
      <w:bodyDiv w:val="1"/>
      <w:marLeft w:val="0"/>
      <w:marRight w:val="0"/>
      <w:marTop w:val="0"/>
      <w:marBottom w:val="0"/>
      <w:divBdr>
        <w:top w:val="none" w:sz="0" w:space="0" w:color="auto"/>
        <w:left w:val="none" w:sz="0" w:space="0" w:color="auto"/>
        <w:bottom w:val="none" w:sz="0" w:space="0" w:color="auto"/>
        <w:right w:val="none" w:sz="0" w:space="0" w:color="auto"/>
      </w:divBdr>
    </w:div>
    <w:div w:id="2021615440">
      <w:bodyDiv w:val="1"/>
      <w:marLeft w:val="0"/>
      <w:marRight w:val="0"/>
      <w:marTop w:val="0"/>
      <w:marBottom w:val="0"/>
      <w:divBdr>
        <w:top w:val="none" w:sz="0" w:space="0" w:color="auto"/>
        <w:left w:val="none" w:sz="0" w:space="0" w:color="auto"/>
        <w:bottom w:val="none" w:sz="0" w:space="0" w:color="auto"/>
        <w:right w:val="none" w:sz="0" w:space="0" w:color="auto"/>
      </w:divBdr>
      <w:divsChild>
        <w:div w:id="594364461">
          <w:marLeft w:val="446"/>
          <w:marRight w:val="0"/>
          <w:marTop w:val="0"/>
          <w:marBottom w:val="0"/>
          <w:divBdr>
            <w:top w:val="none" w:sz="0" w:space="0" w:color="auto"/>
            <w:left w:val="none" w:sz="0" w:space="0" w:color="auto"/>
            <w:bottom w:val="none" w:sz="0" w:space="0" w:color="auto"/>
            <w:right w:val="none" w:sz="0" w:space="0" w:color="auto"/>
          </w:divBdr>
        </w:div>
        <w:div w:id="802580866">
          <w:marLeft w:val="446"/>
          <w:marRight w:val="0"/>
          <w:marTop w:val="0"/>
          <w:marBottom w:val="0"/>
          <w:divBdr>
            <w:top w:val="none" w:sz="0" w:space="0" w:color="auto"/>
            <w:left w:val="none" w:sz="0" w:space="0" w:color="auto"/>
            <w:bottom w:val="none" w:sz="0" w:space="0" w:color="auto"/>
            <w:right w:val="none" w:sz="0" w:space="0" w:color="auto"/>
          </w:divBdr>
        </w:div>
      </w:divsChild>
    </w:div>
    <w:div w:id="2055494308">
      <w:bodyDiv w:val="1"/>
      <w:marLeft w:val="0"/>
      <w:marRight w:val="0"/>
      <w:marTop w:val="0"/>
      <w:marBottom w:val="0"/>
      <w:divBdr>
        <w:top w:val="none" w:sz="0" w:space="0" w:color="auto"/>
        <w:left w:val="none" w:sz="0" w:space="0" w:color="auto"/>
        <w:bottom w:val="none" w:sz="0" w:space="0" w:color="auto"/>
        <w:right w:val="none" w:sz="0" w:space="0" w:color="auto"/>
      </w:divBdr>
    </w:div>
    <w:div w:id="2073191427">
      <w:bodyDiv w:val="1"/>
      <w:marLeft w:val="0"/>
      <w:marRight w:val="0"/>
      <w:marTop w:val="0"/>
      <w:marBottom w:val="0"/>
      <w:divBdr>
        <w:top w:val="none" w:sz="0" w:space="0" w:color="auto"/>
        <w:left w:val="none" w:sz="0" w:space="0" w:color="auto"/>
        <w:bottom w:val="none" w:sz="0" w:space="0" w:color="auto"/>
        <w:right w:val="none" w:sz="0" w:space="0" w:color="auto"/>
      </w:divBdr>
      <w:divsChild>
        <w:div w:id="48697338">
          <w:marLeft w:val="547"/>
          <w:marRight w:val="0"/>
          <w:marTop w:val="0"/>
          <w:marBottom w:val="0"/>
          <w:divBdr>
            <w:top w:val="none" w:sz="0" w:space="0" w:color="auto"/>
            <w:left w:val="none" w:sz="0" w:space="0" w:color="auto"/>
            <w:bottom w:val="none" w:sz="0" w:space="0" w:color="auto"/>
            <w:right w:val="none" w:sz="0" w:space="0" w:color="auto"/>
          </w:divBdr>
        </w:div>
        <w:div w:id="724452117">
          <w:marLeft w:val="1267"/>
          <w:marRight w:val="0"/>
          <w:marTop w:val="0"/>
          <w:marBottom w:val="0"/>
          <w:divBdr>
            <w:top w:val="none" w:sz="0" w:space="0" w:color="auto"/>
            <w:left w:val="none" w:sz="0" w:space="0" w:color="auto"/>
            <w:bottom w:val="none" w:sz="0" w:space="0" w:color="auto"/>
            <w:right w:val="none" w:sz="0" w:space="0" w:color="auto"/>
          </w:divBdr>
        </w:div>
        <w:div w:id="1087457626">
          <w:marLeft w:val="547"/>
          <w:marRight w:val="0"/>
          <w:marTop w:val="0"/>
          <w:marBottom w:val="0"/>
          <w:divBdr>
            <w:top w:val="none" w:sz="0" w:space="0" w:color="auto"/>
            <w:left w:val="none" w:sz="0" w:space="0" w:color="auto"/>
            <w:bottom w:val="none" w:sz="0" w:space="0" w:color="auto"/>
            <w:right w:val="none" w:sz="0" w:space="0" w:color="auto"/>
          </w:divBdr>
        </w:div>
        <w:div w:id="1703163694">
          <w:marLeft w:val="1267"/>
          <w:marRight w:val="0"/>
          <w:marTop w:val="0"/>
          <w:marBottom w:val="0"/>
          <w:divBdr>
            <w:top w:val="none" w:sz="0" w:space="0" w:color="auto"/>
            <w:left w:val="none" w:sz="0" w:space="0" w:color="auto"/>
            <w:bottom w:val="none" w:sz="0" w:space="0" w:color="auto"/>
            <w:right w:val="none" w:sz="0" w:space="0" w:color="auto"/>
          </w:divBdr>
        </w:div>
        <w:div w:id="1823347507">
          <w:marLeft w:val="547"/>
          <w:marRight w:val="0"/>
          <w:marTop w:val="0"/>
          <w:marBottom w:val="0"/>
          <w:divBdr>
            <w:top w:val="none" w:sz="0" w:space="0" w:color="auto"/>
            <w:left w:val="none" w:sz="0" w:space="0" w:color="auto"/>
            <w:bottom w:val="none" w:sz="0" w:space="0" w:color="auto"/>
            <w:right w:val="none" w:sz="0" w:space="0" w:color="auto"/>
          </w:divBdr>
        </w:div>
        <w:div w:id="1942028778">
          <w:marLeft w:val="547"/>
          <w:marRight w:val="0"/>
          <w:marTop w:val="0"/>
          <w:marBottom w:val="0"/>
          <w:divBdr>
            <w:top w:val="none" w:sz="0" w:space="0" w:color="auto"/>
            <w:left w:val="none" w:sz="0" w:space="0" w:color="auto"/>
            <w:bottom w:val="none" w:sz="0" w:space="0" w:color="auto"/>
            <w:right w:val="none" w:sz="0" w:space="0" w:color="auto"/>
          </w:divBdr>
        </w:div>
      </w:divsChild>
    </w:div>
    <w:div w:id="2131394010">
      <w:bodyDiv w:val="1"/>
      <w:marLeft w:val="0"/>
      <w:marRight w:val="0"/>
      <w:marTop w:val="0"/>
      <w:marBottom w:val="0"/>
      <w:divBdr>
        <w:top w:val="none" w:sz="0" w:space="0" w:color="auto"/>
        <w:left w:val="none" w:sz="0" w:space="0" w:color="auto"/>
        <w:bottom w:val="none" w:sz="0" w:space="0" w:color="auto"/>
        <w:right w:val="none" w:sz="0" w:space="0" w:color="auto"/>
      </w:divBdr>
      <w:divsChild>
        <w:div w:id="629213820">
          <w:marLeft w:val="446"/>
          <w:marRight w:val="0"/>
          <w:marTop w:val="0"/>
          <w:marBottom w:val="0"/>
          <w:divBdr>
            <w:top w:val="none" w:sz="0" w:space="0" w:color="auto"/>
            <w:left w:val="none" w:sz="0" w:space="0" w:color="auto"/>
            <w:bottom w:val="none" w:sz="0" w:space="0" w:color="auto"/>
            <w:right w:val="none" w:sz="0" w:space="0" w:color="auto"/>
          </w:divBdr>
        </w:div>
        <w:div w:id="933976531">
          <w:marLeft w:val="446"/>
          <w:marRight w:val="0"/>
          <w:marTop w:val="0"/>
          <w:marBottom w:val="0"/>
          <w:divBdr>
            <w:top w:val="none" w:sz="0" w:space="0" w:color="auto"/>
            <w:left w:val="none" w:sz="0" w:space="0" w:color="auto"/>
            <w:bottom w:val="none" w:sz="0" w:space="0" w:color="auto"/>
            <w:right w:val="none" w:sz="0" w:space="0" w:color="auto"/>
          </w:divBdr>
        </w:div>
        <w:div w:id="2077698564">
          <w:marLeft w:val="446"/>
          <w:marRight w:val="0"/>
          <w:marTop w:val="0"/>
          <w:marBottom w:val="0"/>
          <w:divBdr>
            <w:top w:val="none" w:sz="0" w:space="0" w:color="auto"/>
            <w:left w:val="none" w:sz="0" w:space="0" w:color="auto"/>
            <w:bottom w:val="none" w:sz="0" w:space="0" w:color="auto"/>
            <w:right w:val="none" w:sz="0" w:space="0" w:color="auto"/>
          </w:divBdr>
        </w:div>
      </w:divsChild>
    </w:div>
    <w:div w:id="21354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ontinuousdistributio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vectorlearningxchan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vectorlearningxchange.com/wp-content/uploads/2018/07/PMI-VectorLink-Challenges-and-Opportunities-in-ITN-Continuous-Distribution-Systems.mp4" TargetMode="External"/><Relationship Id="rId10" Type="http://schemas.openxmlformats.org/officeDocument/2006/relationships/endnotes" Target="endnotes.xml"/><Relationship Id="rId19" Type="http://schemas.openxmlformats.org/officeDocument/2006/relationships/hyperlink" Target="http://www.Continousdistribu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tinuousdistribution.org/wp-content/uploads/2017/02/Health-Facility-based-LLIN-Distributions_Guide.pdf" TargetMode="External"/><Relationship Id="rId2" Type="http://schemas.openxmlformats.org/officeDocument/2006/relationships/hyperlink" Target="https://endmalaria.org/news/malaria-increasingly-disease-poverty-and-inequity-reveals-world-malaria-report-2019" TargetMode="External"/><Relationship Id="rId1" Type="http://schemas.openxmlformats.org/officeDocument/2006/relationships/hyperlink" Target="https://www.ncbi.nlm.nih.gov/pubmed/31669182" TargetMode="External"/><Relationship Id="rId5" Type="http://schemas.openxmlformats.org/officeDocument/2006/relationships/hyperlink" Target="https://breakthroughactionandresearch.org/resources/itn-use-and-access-report/" TargetMode="External"/><Relationship Id="rId4" Type="http://schemas.openxmlformats.org/officeDocument/2006/relationships/hyperlink" Target="https://www.continuousdistribution.org/wp-content/uploads/2016/12/Guide-to-continuous-distribution-of-LLINs_concepts-and-plann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SharedWithUsers xmlns="6b9857c5-041e-4fc1-9d7d-8b03587acb27">
      <UserInfo>
        <DisplayName>Jane Miller</DisplayName>
        <AccountId>225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25205-0734-4F0F-B8A5-807498D3D418}">
  <ds:schemaRefs>
    <ds:schemaRef ds:uri="http://schemas.openxmlformats.org/officeDocument/2006/bibliography"/>
  </ds:schemaRefs>
</ds:datastoreItem>
</file>

<file path=customXml/itemProps2.xml><?xml version="1.0" encoding="utf-8"?>
<ds:datastoreItem xmlns:ds="http://schemas.openxmlformats.org/officeDocument/2006/customXml" ds:itemID="{81C8BE74-6B48-4C2F-99E3-2642BF1E455C}">
  <ds:schemaRefs>
    <ds:schemaRef ds:uri="http://schemas.microsoft.com/sharepoint/v3/contenttype/forms"/>
  </ds:schemaRefs>
</ds:datastoreItem>
</file>

<file path=customXml/itemProps3.xml><?xml version="1.0" encoding="utf-8"?>
<ds:datastoreItem xmlns:ds="http://schemas.openxmlformats.org/officeDocument/2006/customXml" ds:itemID="{DC4D9F64-23E2-4229-AB29-372CF5E54B96}">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customXml/itemProps4.xml><?xml version="1.0" encoding="utf-8"?>
<ds:datastoreItem xmlns:ds="http://schemas.openxmlformats.org/officeDocument/2006/customXml" ds:itemID="{40E64C6B-82EF-4C7B-AF07-083F36E9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5806</Words>
  <Characters>33096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IRS Technical Report Template</vt:lpstr>
    </vt:vector>
  </TitlesOfParts>
  <Company>Abt Associates Inc.</Company>
  <LinksUpToDate>false</LinksUpToDate>
  <CharactersWithSpaces>38825</CharactersWithSpaces>
  <SharedDoc>false</SharedDoc>
  <HLinks>
    <vt:vector size="12" baseType="variant">
      <vt:variant>
        <vt:i4>1900594</vt:i4>
      </vt:variant>
      <vt:variant>
        <vt:i4>61</vt:i4>
      </vt:variant>
      <vt:variant>
        <vt:i4>0</vt:i4>
      </vt:variant>
      <vt:variant>
        <vt:i4>5</vt:i4>
      </vt:variant>
      <vt:variant>
        <vt:lpwstr/>
      </vt:variant>
      <vt:variant>
        <vt:lpwstr>_Toc121901208</vt:lpwstr>
      </vt:variant>
      <vt:variant>
        <vt:i4>1572912</vt:i4>
      </vt:variant>
      <vt:variant>
        <vt:i4>52</vt:i4>
      </vt:variant>
      <vt:variant>
        <vt:i4>0</vt:i4>
      </vt:variant>
      <vt:variant>
        <vt:i4>5</vt:i4>
      </vt:variant>
      <vt:variant>
        <vt:lpwstr/>
      </vt:variant>
      <vt:variant>
        <vt:lpwstr>_Toc58132367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Technical Report Template</dc:title>
  <dc:creator>Laura McCarty</dc:creator>
  <cp:lastModifiedBy>Jane Miller</cp:lastModifiedBy>
  <cp:revision>2</cp:revision>
  <cp:lastPrinted>2020-04-22T17:09:00Z</cp:lastPrinted>
  <dcterms:created xsi:type="dcterms:W3CDTF">2020-07-09T16:51:00Z</dcterms:created>
  <dcterms:modified xsi:type="dcterms:W3CDTF">2020-07-09T16:51:00Z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